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360" w:lineRule="auto"/>
        <w:jc w:val="center"/>
        <w:outlineLvl w:val="0"/>
        <w:rPr>
          <w:color w:val="FF0000"/>
        </w:rPr>
      </w:pPr>
      <w:bookmarkStart w:id="0" w:name="_Toc13067020"/>
      <w:bookmarkStart w:id="1" w:name="_Toc20160212"/>
      <w:bookmarkStart w:id="2" w:name="_Toc435115054"/>
      <w:bookmarkStart w:id="3" w:name="_Toc435514849"/>
      <w:r>
        <w:rPr>
          <w:rFonts w:hint="eastAsia"/>
          <w:b/>
          <w:bCs/>
          <w:sz w:val="28"/>
          <w:szCs w:val="28"/>
        </w:rPr>
        <w:t>第二章 用户需求书</w:t>
      </w:r>
      <w:bookmarkEnd w:id="0"/>
      <w:bookmarkEnd w:id="1"/>
      <w:bookmarkEnd w:id="2"/>
      <w:bookmarkEnd w:id="3"/>
    </w:p>
    <w:p>
      <w:pPr>
        <w:pStyle w:val="2"/>
        <w:numPr>
          <w:ilvl w:val="0"/>
          <w:numId w:val="1"/>
        </w:numPr>
        <w:tabs>
          <w:tab w:val="left" w:pos="540"/>
        </w:tabs>
        <w:adjustRightInd w:val="0"/>
        <w:snapToGrid w:val="0"/>
        <w:spacing w:line="360" w:lineRule="auto"/>
        <w:rPr>
          <w:rFonts w:asciiTheme="minorEastAsia" w:hAnsiTheme="minorEastAsia"/>
          <w:b/>
          <w:sz w:val="24"/>
          <w:szCs w:val="24"/>
        </w:rPr>
      </w:pPr>
      <w:r>
        <w:rPr>
          <w:rFonts w:hint="eastAsia" w:asciiTheme="minorEastAsia" w:hAnsiTheme="minorEastAsia"/>
          <w:b/>
          <w:sz w:val="24"/>
          <w:szCs w:val="24"/>
        </w:rPr>
        <w:t>有关说明：</w:t>
      </w:r>
    </w:p>
    <w:p>
      <w:pPr>
        <w:numPr>
          <w:ilvl w:val="0"/>
          <w:numId w:val="2"/>
        </w:numPr>
        <w:snapToGrid w:val="0"/>
        <w:spacing w:line="360" w:lineRule="auto"/>
        <w:rPr>
          <w:rFonts w:asciiTheme="minorEastAsia" w:hAnsiTheme="minorEastAsia" w:eastAsiaTheme="minorEastAsia"/>
          <w:b w:val="0"/>
          <w:bCs w:val="0"/>
          <w:sz w:val="24"/>
        </w:rPr>
      </w:pPr>
      <w:r>
        <w:rPr>
          <w:rFonts w:hint="eastAsia" w:asciiTheme="minorEastAsia" w:hAnsiTheme="minorEastAsia" w:eastAsiaTheme="minorEastAsia"/>
          <w:b w:val="0"/>
          <w:bCs w:val="0"/>
          <w:sz w:val="24"/>
        </w:rPr>
        <w:t>本项目主要标的为医用氧气（规格：2L/4L/6L/10L）、医用氧气（规格：40L）和液氧，投标人应在《货物说明一览表》中清晰列明“产品名称、规格型号、品牌、单价、数量”等内容。</w:t>
      </w:r>
    </w:p>
    <w:p>
      <w:pPr>
        <w:numPr>
          <w:ilvl w:val="0"/>
          <w:numId w:val="2"/>
        </w:numPr>
        <w:snapToGrid w:val="0"/>
        <w:spacing w:line="360" w:lineRule="auto"/>
        <w:rPr>
          <w:rFonts w:asciiTheme="minorEastAsia" w:hAnsiTheme="minorEastAsia" w:eastAsiaTheme="minorEastAsia"/>
          <w:b w:val="0"/>
          <w:bCs w:val="0"/>
          <w:sz w:val="24"/>
        </w:rPr>
      </w:pPr>
      <w:r>
        <w:rPr>
          <w:rFonts w:hint="eastAsia" w:asciiTheme="minorEastAsia" w:hAnsiTheme="minorEastAsia" w:eastAsiaTheme="minorEastAsia"/>
          <w:b w:val="0"/>
          <w:bCs w:val="0"/>
          <w:sz w:val="24"/>
        </w:rPr>
        <w:t>本项目的核心产品为液氧，投标人必须在《货物说明一览表》中清晰列明“产品名称、品牌”。否则，视为投标无效。</w:t>
      </w:r>
    </w:p>
    <w:p>
      <w:pPr>
        <w:pStyle w:val="2"/>
        <w:numPr>
          <w:ilvl w:val="0"/>
          <w:numId w:val="1"/>
        </w:numPr>
        <w:tabs>
          <w:tab w:val="left" w:pos="540"/>
        </w:tabs>
        <w:adjustRightInd w:val="0"/>
        <w:snapToGrid w:val="0"/>
        <w:spacing w:line="360" w:lineRule="auto"/>
        <w:rPr>
          <w:rFonts w:asciiTheme="minorEastAsia" w:hAnsiTheme="minorEastAsia"/>
          <w:b/>
          <w:sz w:val="24"/>
          <w:szCs w:val="24"/>
        </w:rPr>
      </w:pPr>
      <w:r>
        <w:rPr>
          <w:rFonts w:hint="eastAsia" w:asciiTheme="minorEastAsia" w:hAnsiTheme="minorEastAsia"/>
          <w:b/>
          <w:sz w:val="24"/>
          <w:szCs w:val="24"/>
        </w:rPr>
        <w:t>项目一览表</w:t>
      </w:r>
    </w:p>
    <w:tbl>
      <w:tblPr>
        <w:tblStyle w:val="4"/>
        <w:tblW w:w="9219" w:type="dxa"/>
        <w:tblInd w:w="103" w:type="dxa"/>
        <w:tblLayout w:type="fixed"/>
        <w:tblCellMar>
          <w:top w:w="0" w:type="dxa"/>
          <w:left w:w="108" w:type="dxa"/>
          <w:bottom w:w="0" w:type="dxa"/>
          <w:right w:w="108" w:type="dxa"/>
        </w:tblCellMar>
      </w:tblPr>
      <w:tblGrid>
        <w:gridCol w:w="639"/>
        <w:gridCol w:w="1350"/>
        <w:gridCol w:w="1559"/>
        <w:gridCol w:w="1702"/>
        <w:gridCol w:w="992"/>
        <w:gridCol w:w="709"/>
        <w:gridCol w:w="851"/>
        <w:gridCol w:w="1417"/>
      </w:tblGrid>
      <w:tr>
        <w:tblPrEx>
          <w:tblLayout w:type="fixed"/>
          <w:tblCellMar>
            <w:top w:w="0" w:type="dxa"/>
            <w:left w:w="108" w:type="dxa"/>
            <w:bottom w:w="0" w:type="dxa"/>
            <w:right w:w="108" w:type="dxa"/>
          </w:tblCellMar>
        </w:tblPrEx>
        <w:trPr>
          <w:trHeight w:val="630"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bookmarkStart w:id="4" w:name="_GoBack"/>
            <w:r>
              <w:rPr>
                <w:rFonts w:hint="eastAsia" w:ascii="仿宋" w:hAnsi="仿宋" w:eastAsia="仿宋" w:cs="仿宋"/>
                <w:b/>
                <w:kern w:val="0"/>
                <w:sz w:val="18"/>
                <w:szCs w:val="18"/>
                <w:lang w:bidi="ar"/>
              </w:rPr>
              <w:t>序号</w:t>
            </w:r>
          </w:p>
        </w:tc>
        <w:tc>
          <w:tcPr>
            <w:tcW w:w="135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b/>
                <w:kern w:val="0"/>
                <w:sz w:val="18"/>
                <w:szCs w:val="18"/>
                <w:lang w:bidi="ar"/>
              </w:rPr>
              <w:t>品名</w:t>
            </w:r>
          </w:p>
        </w:tc>
        <w:tc>
          <w:tcPr>
            <w:tcW w:w="155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b/>
                <w:kern w:val="0"/>
                <w:sz w:val="18"/>
                <w:szCs w:val="18"/>
                <w:lang w:bidi="ar"/>
              </w:rPr>
              <w:t>纯度</w:t>
            </w:r>
          </w:p>
        </w:tc>
        <w:tc>
          <w:tcPr>
            <w:tcW w:w="1702"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b/>
                <w:kern w:val="0"/>
                <w:sz w:val="18"/>
                <w:szCs w:val="18"/>
                <w:lang w:bidi="ar"/>
              </w:rPr>
              <w:t>规格</w:t>
            </w:r>
          </w:p>
        </w:tc>
        <w:tc>
          <w:tcPr>
            <w:tcW w:w="992"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b/>
                <w:kern w:val="0"/>
                <w:sz w:val="18"/>
                <w:szCs w:val="18"/>
                <w:lang w:bidi="ar"/>
              </w:rPr>
              <w:t>单价（元）</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b/>
                <w:kern w:val="0"/>
                <w:sz w:val="18"/>
                <w:szCs w:val="18"/>
                <w:lang w:bidi="ar"/>
              </w:rPr>
              <w:t>单位</w:t>
            </w:r>
          </w:p>
        </w:tc>
        <w:tc>
          <w:tcPr>
            <w:tcW w:w="851"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b/>
                <w:kern w:val="0"/>
                <w:sz w:val="18"/>
                <w:szCs w:val="18"/>
                <w:lang w:bidi="ar"/>
              </w:rPr>
              <w:t>年限</w:t>
            </w:r>
          </w:p>
        </w:tc>
        <w:tc>
          <w:tcPr>
            <w:tcW w:w="1417"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b/>
                <w:kern w:val="0"/>
                <w:sz w:val="18"/>
                <w:szCs w:val="18"/>
                <w:lang w:bidi="ar"/>
              </w:rPr>
              <w:t>最高限价</w:t>
            </w:r>
          </w:p>
          <w:p>
            <w:pPr>
              <w:widowControl/>
              <w:spacing w:before="100" w:beforeAutospacing="1" w:after="100" w:afterAutospacing="1"/>
              <w:jc w:val="center"/>
              <w:rPr>
                <w:rFonts w:hint="eastAsia" w:ascii="仿宋" w:hAnsi="仿宋" w:eastAsia="仿宋" w:cs="仿宋"/>
              </w:rPr>
            </w:pPr>
            <w:r>
              <w:rPr>
                <w:rFonts w:hint="eastAsia" w:ascii="仿宋" w:hAnsi="仿宋" w:eastAsia="仿宋" w:cs="仿宋"/>
                <w:b/>
                <w:kern w:val="0"/>
                <w:sz w:val="18"/>
                <w:szCs w:val="18"/>
                <w:lang w:bidi="ar"/>
              </w:rPr>
              <w:t>（人民币）</w:t>
            </w:r>
          </w:p>
        </w:tc>
      </w:tr>
      <w:tr>
        <w:tblPrEx>
          <w:tblLayout w:type="fixed"/>
          <w:tblCellMar>
            <w:top w:w="0" w:type="dxa"/>
            <w:left w:w="108" w:type="dxa"/>
            <w:bottom w:w="0" w:type="dxa"/>
            <w:right w:w="108" w:type="dxa"/>
          </w:tblCellMar>
        </w:tblPrEx>
        <w:trPr>
          <w:trHeight w:val="450"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1</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医用液氧</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≥99.5%</w:t>
            </w:r>
          </w:p>
        </w:tc>
        <w:tc>
          <w:tcPr>
            <w:tcW w:w="170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175L杜瓦罐</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2.6</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kg</w:t>
            </w:r>
          </w:p>
        </w:tc>
        <w:tc>
          <w:tcPr>
            <w:tcW w:w="851" w:type="dxa"/>
            <w:vMerge w:val="restart"/>
            <w:tcBorders>
              <w:top w:val="nil"/>
              <w:left w:val="single" w:color="auto" w:sz="4" w:space="0"/>
              <w:bottom w:val="single" w:color="000000"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两年</w:t>
            </w:r>
          </w:p>
        </w:tc>
        <w:tc>
          <w:tcPr>
            <w:tcW w:w="1417" w:type="dxa"/>
            <w:vMerge w:val="restart"/>
            <w:tcBorders>
              <w:top w:val="nil"/>
              <w:left w:val="single" w:color="auto" w:sz="4" w:space="0"/>
              <w:bottom w:val="single" w:color="000000"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60万元</w:t>
            </w:r>
          </w:p>
        </w:tc>
      </w:tr>
      <w:tr>
        <w:tblPrEx>
          <w:tblLayout w:type="fixed"/>
          <w:tblCellMar>
            <w:top w:w="0" w:type="dxa"/>
            <w:left w:w="108" w:type="dxa"/>
            <w:bottom w:w="0" w:type="dxa"/>
            <w:right w:w="108" w:type="dxa"/>
          </w:tblCellMar>
        </w:tblPrEx>
        <w:trPr>
          <w:trHeight w:val="450"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2</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医用氧气</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≥99.5%</w:t>
            </w:r>
          </w:p>
        </w:tc>
        <w:tc>
          <w:tcPr>
            <w:tcW w:w="170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2-10L钢瓶</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25</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瓶</w:t>
            </w:r>
          </w:p>
        </w:tc>
        <w:tc>
          <w:tcPr>
            <w:tcW w:w="851"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4"/>
              </w:rPr>
            </w:pPr>
          </w:p>
        </w:tc>
        <w:tc>
          <w:tcPr>
            <w:tcW w:w="1417"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4"/>
              </w:rPr>
            </w:pPr>
          </w:p>
        </w:tc>
      </w:tr>
      <w:tr>
        <w:tblPrEx>
          <w:tblLayout w:type="fixed"/>
          <w:tblCellMar>
            <w:top w:w="0" w:type="dxa"/>
            <w:left w:w="108" w:type="dxa"/>
            <w:bottom w:w="0" w:type="dxa"/>
            <w:right w:w="108" w:type="dxa"/>
          </w:tblCellMar>
        </w:tblPrEx>
        <w:trPr>
          <w:trHeight w:val="450"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3</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医用氧气</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≥99.5%</w:t>
            </w:r>
          </w:p>
        </w:tc>
        <w:tc>
          <w:tcPr>
            <w:tcW w:w="170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40L钢瓶</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30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瓶</w:t>
            </w:r>
          </w:p>
        </w:tc>
        <w:tc>
          <w:tcPr>
            <w:tcW w:w="851"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4"/>
              </w:rPr>
            </w:pPr>
          </w:p>
        </w:tc>
        <w:tc>
          <w:tcPr>
            <w:tcW w:w="1417"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4"/>
              </w:rPr>
            </w:pPr>
          </w:p>
        </w:tc>
      </w:tr>
      <w:tr>
        <w:tblPrEx>
          <w:tblLayout w:type="fixed"/>
          <w:tblCellMar>
            <w:top w:w="0" w:type="dxa"/>
            <w:left w:w="108" w:type="dxa"/>
            <w:bottom w:w="0" w:type="dxa"/>
            <w:right w:w="108" w:type="dxa"/>
          </w:tblCellMar>
        </w:tblPrEx>
        <w:trPr>
          <w:trHeight w:val="450"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4</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二氧化碳</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≥99.5%</w:t>
            </w:r>
          </w:p>
        </w:tc>
        <w:tc>
          <w:tcPr>
            <w:tcW w:w="170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40L钢瓶</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90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瓶</w:t>
            </w:r>
          </w:p>
        </w:tc>
        <w:tc>
          <w:tcPr>
            <w:tcW w:w="851"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4"/>
              </w:rPr>
            </w:pPr>
          </w:p>
        </w:tc>
        <w:tc>
          <w:tcPr>
            <w:tcW w:w="1417"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4"/>
              </w:rPr>
            </w:pPr>
          </w:p>
        </w:tc>
      </w:tr>
      <w:tr>
        <w:tblPrEx>
          <w:tblLayout w:type="fixed"/>
          <w:tblCellMar>
            <w:top w:w="0" w:type="dxa"/>
            <w:left w:w="108" w:type="dxa"/>
            <w:bottom w:w="0" w:type="dxa"/>
            <w:right w:w="108" w:type="dxa"/>
          </w:tblCellMar>
        </w:tblPrEx>
        <w:trPr>
          <w:trHeight w:val="450"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rPr>
              <w:t>5</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二氧化碳</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≥99.99%</w:t>
            </w:r>
          </w:p>
        </w:tc>
        <w:tc>
          <w:tcPr>
            <w:tcW w:w="170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40L钢瓶</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650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rPr>
            </w:pPr>
            <w:r>
              <w:rPr>
                <w:rFonts w:hint="eastAsia" w:ascii="仿宋" w:hAnsi="仿宋" w:eastAsia="仿宋" w:cs="仿宋"/>
                <w:kern w:val="0"/>
                <w:sz w:val="18"/>
                <w:szCs w:val="18"/>
                <w:lang w:bidi="ar"/>
              </w:rPr>
              <w:t>瓶</w:t>
            </w:r>
          </w:p>
        </w:tc>
        <w:tc>
          <w:tcPr>
            <w:tcW w:w="851" w:type="dxa"/>
            <w:vMerge w:val="continue"/>
            <w:tcBorders>
              <w:top w:val="nil"/>
              <w:left w:val="single" w:color="auto" w:sz="4" w:space="0"/>
              <w:bottom w:val="nil"/>
              <w:right w:val="single" w:color="auto" w:sz="4" w:space="0"/>
            </w:tcBorders>
            <w:vAlign w:val="center"/>
          </w:tcPr>
          <w:p>
            <w:pPr>
              <w:rPr>
                <w:rFonts w:hint="eastAsia" w:ascii="仿宋" w:hAnsi="仿宋" w:eastAsia="仿宋" w:cs="仿宋"/>
                <w:sz w:val="24"/>
              </w:rPr>
            </w:pPr>
          </w:p>
        </w:tc>
        <w:tc>
          <w:tcPr>
            <w:tcW w:w="1417" w:type="dxa"/>
            <w:vMerge w:val="continue"/>
            <w:tcBorders>
              <w:top w:val="nil"/>
              <w:left w:val="single" w:color="auto" w:sz="4" w:space="0"/>
              <w:bottom w:val="nil"/>
              <w:right w:val="single" w:color="auto" w:sz="4" w:space="0"/>
            </w:tcBorders>
            <w:vAlign w:val="center"/>
          </w:tcPr>
          <w:p>
            <w:pPr>
              <w:rPr>
                <w:rFonts w:hint="eastAsia" w:ascii="仿宋" w:hAnsi="仿宋" w:eastAsia="仿宋" w:cs="仿宋"/>
                <w:sz w:val="24"/>
              </w:rPr>
            </w:pPr>
          </w:p>
        </w:tc>
      </w:tr>
      <w:tr>
        <w:tblPrEx>
          <w:tblLayout w:type="fixed"/>
          <w:tblCellMar>
            <w:top w:w="0" w:type="dxa"/>
            <w:left w:w="108" w:type="dxa"/>
            <w:bottom w:w="0" w:type="dxa"/>
            <w:right w:w="108" w:type="dxa"/>
          </w:tblCellMar>
        </w:tblPrEx>
        <w:trPr>
          <w:trHeight w:val="450"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kern w:val="0"/>
                <w:sz w:val="18"/>
                <w:szCs w:val="18"/>
                <w:lang w:bidi="ar"/>
              </w:rPr>
            </w:pPr>
            <w:r>
              <w:rPr>
                <w:rFonts w:hint="eastAsia" w:ascii="仿宋" w:hAnsi="仿宋" w:eastAsia="仿宋" w:cs="仿宋"/>
                <w:kern w:val="0"/>
                <w:sz w:val="18"/>
                <w:szCs w:val="18"/>
                <w:lang w:bidi="ar"/>
              </w:rPr>
              <w:t>6</w:t>
            </w:r>
          </w:p>
        </w:tc>
        <w:tc>
          <w:tcPr>
            <w:tcW w:w="135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kern w:val="0"/>
                <w:sz w:val="18"/>
                <w:szCs w:val="18"/>
                <w:lang w:bidi="ar"/>
              </w:rPr>
            </w:pPr>
            <w:r>
              <w:rPr>
                <w:rFonts w:hint="eastAsia" w:ascii="仿宋" w:hAnsi="仿宋" w:eastAsia="仿宋" w:cs="仿宋"/>
                <w:kern w:val="0"/>
                <w:sz w:val="18"/>
                <w:szCs w:val="18"/>
                <w:lang w:bidi="ar"/>
              </w:rPr>
              <w:t>液氮</w:t>
            </w:r>
          </w:p>
        </w:tc>
        <w:tc>
          <w:tcPr>
            <w:tcW w:w="155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kern w:val="0"/>
                <w:sz w:val="18"/>
                <w:szCs w:val="18"/>
                <w:lang w:bidi="ar"/>
              </w:rPr>
            </w:pPr>
            <w:r>
              <w:rPr>
                <w:rFonts w:hint="eastAsia" w:ascii="仿宋" w:hAnsi="仿宋" w:eastAsia="仿宋" w:cs="仿宋"/>
                <w:kern w:val="0"/>
                <w:sz w:val="18"/>
                <w:szCs w:val="18"/>
                <w:lang w:bidi="ar"/>
              </w:rPr>
              <w:t>≥99.999%</w:t>
            </w:r>
          </w:p>
        </w:tc>
        <w:tc>
          <w:tcPr>
            <w:tcW w:w="1702"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kern w:val="0"/>
                <w:sz w:val="18"/>
                <w:szCs w:val="18"/>
                <w:lang w:bidi="ar"/>
              </w:rPr>
            </w:pPr>
            <w:r>
              <w:rPr>
                <w:rFonts w:hint="eastAsia" w:ascii="仿宋" w:hAnsi="仿宋" w:eastAsia="仿宋" w:cs="仿宋"/>
                <w:kern w:val="0"/>
                <w:sz w:val="18"/>
                <w:szCs w:val="18"/>
                <w:lang w:bidi="ar"/>
              </w:rPr>
              <w:t>敞口罐</w:t>
            </w:r>
          </w:p>
        </w:tc>
        <w:tc>
          <w:tcPr>
            <w:tcW w:w="992"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kern w:val="0"/>
                <w:sz w:val="18"/>
                <w:szCs w:val="18"/>
                <w:lang w:bidi="ar"/>
              </w:rPr>
            </w:pPr>
            <w:r>
              <w:rPr>
                <w:rFonts w:hint="eastAsia" w:ascii="仿宋" w:hAnsi="仿宋" w:eastAsia="仿宋" w:cs="仿宋"/>
                <w:kern w:val="0"/>
                <w:sz w:val="18"/>
                <w:szCs w:val="18"/>
                <w:lang w:bidi="ar"/>
              </w:rPr>
              <w:t>9</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kern w:val="0"/>
                <w:sz w:val="18"/>
                <w:szCs w:val="18"/>
                <w:lang w:bidi="ar"/>
              </w:rPr>
            </w:pPr>
            <w:r>
              <w:rPr>
                <w:rFonts w:hint="eastAsia" w:ascii="仿宋" w:hAnsi="仿宋" w:eastAsia="仿宋" w:cs="仿宋"/>
                <w:kern w:val="0"/>
                <w:sz w:val="18"/>
                <w:szCs w:val="18"/>
                <w:lang w:bidi="ar"/>
              </w:rPr>
              <w:t>kg</w:t>
            </w:r>
          </w:p>
        </w:tc>
        <w:tc>
          <w:tcPr>
            <w:tcW w:w="851" w:type="dxa"/>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4"/>
              </w:rPr>
            </w:pPr>
          </w:p>
        </w:tc>
        <w:tc>
          <w:tcPr>
            <w:tcW w:w="1417" w:type="dxa"/>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4"/>
              </w:rPr>
            </w:pPr>
          </w:p>
        </w:tc>
      </w:tr>
      <w:bookmarkEnd w:id="4"/>
    </w:tbl>
    <w:p>
      <w:pPr>
        <w:pStyle w:val="2"/>
        <w:numPr>
          <w:ilvl w:val="0"/>
          <w:numId w:val="1"/>
        </w:numPr>
        <w:tabs>
          <w:tab w:val="left" w:pos="540"/>
        </w:tabs>
        <w:adjustRightInd w:val="0"/>
        <w:snapToGrid w:val="0"/>
        <w:spacing w:line="360" w:lineRule="auto"/>
        <w:rPr>
          <w:rFonts w:asciiTheme="minorEastAsia" w:hAnsiTheme="minorEastAsia"/>
          <w:b/>
          <w:bCs/>
          <w:sz w:val="24"/>
          <w:szCs w:val="24"/>
        </w:rPr>
      </w:pPr>
      <w:r>
        <w:rPr>
          <w:rFonts w:hint="eastAsia" w:asciiTheme="minorEastAsia" w:hAnsiTheme="minorEastAsia"/>
          <w:b/>
          <w:bCs/>
          <w:sz w:val="24"/>
          <w:szCs w:val="24"/>
        </w:rPr>
        <w:t>本项目投标报价中包含每公斤/瓶的货物价款、运输费、装卸费（卸至采购人指定地点）、保险费用、税费以及售后服务费等一切费用，采购人无须向供应商另外支付其余任何费用。</w:t>
      </w:r>
    </w:p>
    <w:p>
      <w:pPr>
        <w:pStyle w:val="2"/>
        <w:numPr>
          <w:ilvl w:val="0"/>
          <w:numId w:val="1"/>
        </w:numPr>
        <w:tabs>
          <w:tab w:val="left" w:pos="540"/>
        </w:tabs>
        <w:adjustRightInd w:val="0"/>
        <w:snapToGrid w:val="0"/>
        <w:spacing w:line="360" w:lineRule="auto"/>
        <w:rPr>
          <w:rFonts w:asciiTheme="minorEastAsia" w:hAnsiTheme="minorEastAsia"/>
          <w:b/>
          <w:sz w:val="24"/>
          <w:szCs w:val="24"/>
        </w:rPr>
      </w:pPr>
      <w:r>
        <w:rPr>
          <w:rFonts w:hint="eastAsia" w:asciiTheme="minorEastAsia" w:hAnsiTheme="minorEastAsia"/>
          <w:b/>
          <w:sz w:val="24"/>
          <w:szCs w:val="24"/>
        </w:rPr>
        <w:t>技术和质量要求：</w:t>
      </w:r>
    </w:p>
    <w:p>
      <w:pPr>
        <w:numPr>
          <w:ilvl w:val="0"/>
          <w:numId w:val="3"/>
        </w:numPr>
        <w:snapToGrid w:val="0"/>
        <w:spacing w:line="360" w:lineRule="auto"/>
        <w:ind w:left="0" w:firstLine="426"/>
        <w:rPr>
          <w:rFonts w:ascii="宋体" w:hAnsi="宋体" w:cs="宋体"/>
          <w:sz w:val="24"/>
        </w:rPr>
      </w:pPr>
      <w:r>
        <w:rPr>
          <w:rFonts w:hint="eastAsia" w:ascii="宋体"/>
          <w:bCs/>
          <w:sz w:val="24"/>
        </w:rPr>
        <w:t>★</w:t>
      </w:r>
      <w:r>
        <w:rPr>
          <w:rFonts w:hint="eastAsia" w:ascii="宋体" w:hAnsi="宋体" w:cs="宋体"/>
          <w:sz w:val="24"/>
        </w:rPr>
        <w:t>质量标准：医用液氧、医用氧气需符合《中国药典》2015版要求。医用</w:t>
      </w:r>
      <w:r>
        <w:rPr>
          <w:rFonts w:hint="eastAsia" w:ascii="宋体" w:hAnsi="宋体" w:cs="宋体"/>
          <w:sz w:val="24"/>
          <w:lang w:eastAsia="zh-CN"/>
        </w:rPr>
        <w:t>液氮</w:t>
      </w:r>
      <w:r>
        <w:rPr>
          <w:rFonts w:hint="eastAsia" w:ascii="宋体" w:hAnsi="宋体" w:cs="宋体"/>
          <w:sz w:val="24"/>
        </w:rPr>
        <w:t>、二氧化碳等气体必须符合国家最新质量标准。</w:t>
      </w:r>
    </w:p>
    <w:p>
      <w:pPr>
        <w:numPr>
          <w:ilvl w:val="0"/>
          <w:numId w:val="3"/>
        </w:numPr>
        <w:snapToGrid w:val="0"/>
        <w:spacing w:line="360" w:lineRule="auto"/>
        <w:ind w:left="0" w:firstLine="426"/>
        <w:rPr>
          <w:rFonts w:ascii="宋体" w:hAnsi="宋体" w:cs="宋体"/>
          <w:sz w:val="24"/>
        </w:rPr>
      </w:pPr>
      <w:r>
        <w:rPr>
          <w:rFonts w:hint="eastAsia" w:ascii="宋体" w:hAnsi="宋体" w:cs="宋体"/>
          <w:sz w:val="24"/>
        </w:rPr>
        <w:t>质量标识：</w:t>
      </w:r>
    </w:p>
    <w:p>
      <w:pPr>
        <w:snapToGrid w:val="0"/>
        <w:spacing w:line="360" w:lineRule="auto"/>
        <w:ind w:firstLine="729" w:firstLineChars="304"/>
        <w:rPr>
          <w:rFonts w:ascii="宋体" w:hAnsi="宋体" w:cs="宋体"/>
          <w:sz w:val="24"/>
        </w:rPr>
      </w:pPr>
      <w:r>
        <w:rPr>
          <w:rFonts w:hint="eastAsia" w:ascii="宋体" w:hAnsi="宋体" w:cs="宋体"/>
          <w:sz w:val="24"/>
        </w:rPr>
        <w:t>（1）产品需提供检验合格证；</w:t>
      </w:r>
    </w:p>
    <w:p>
      <w:pPr>
        <w:snapToGrid w:val="0"/>
        <w:spacing w:line="360" w:lineRule="auto"/>
        <w:ind w:firstLine="729" w:firstLineChars="304"/>
        <w:rPr>
          <w:rFonts w:ascii="宋体" w:hAnsi="宋体" w:cs="宋体"/>
          <w:sz w:val="24"/>
        </w:rPr>
      </w:pPr>
      <w:r>
        <w:rPr>
          <w:rFonts w:hint="eastAsia" w:ascii="宋体" w:hAnsi="宋体" w:cs="宋体"/>
          <w:sz w:val="24"/>
        </w:rPr>
        <w:t>（2）标明产品名称，生产日期、生产批号、气体的容量（m</w:t>
      </w:r>
      <w:r>
        <w:rPr>
          <w:rFonts w:hint="eastAsia" w:ascii="宋体" w:hAnsi="宋体" w:cs="宋体"/>
          <w:sz w:val="24"/>
          <w:vertAlign w:val="superscript"/>
        </w:rPr>
        <w:t>3</w:t>
      </w:r>
      <w:r>
        <w:rPr>
          <w:rFonts w:hint="eastAsia" w:ascii="宋体" w:hAnsi="宋体" w:cs="宋体"/>
          <w:sz w:val="24"/>
        </w:rPr>
        <w:t>）、压力（Mpa）、质量（kg）和纯度（%）、执行标准代号、生产企业等；</w:t>
      </w:r>
    </w:p>
    <w:p>
      <w:pPr>
        <w:numPr>
          <w:ilvl w:val="0"/>
          <w:numId w:val="3"/>
        </w:numPr>
        <w:snapToGrid w:val="0"/>
        <w:spacing w:line="360" w:lineRule="auto"/>
        <w:ind w:left="0" w:firstLine="426"/>
        <w:rPr>
          <w:rFonts w:ascii="宋体" w:hAnsi="宋体" w:cs="宋体"/>
          <w:sz w:val="24"/>
        </w:rPr>
      </w:pPr>
      <w:r>
        <w:rPr>
          <w:rFonts w:hint="eastAsia" w:ascii="宋体" w:hAnsi="宋体" w:cs="宋体"/>
          <w:sz w:val="24"/>
        </w:rPr>
        <w:t>分类标识：对不同种类医疗气体的气瓶及合格证，按国标以不同颜色区分，并按国标设置危险货物包装标志；</w:t>
      </w:r>
    </w:p>
    <w:p>
      <w:pPr>
        <w:numPr>
          <w:ilvl w:val="0"/>
          <w:numId w:val="3"/>
        </w:numPr>
        <w:snapToGrid w:val="0"/>
        <w:spacing w:line="360" w:lineRule="auto"/>
        <w:ind w:left="0" w:firstLine="426"/>
        <w:rPr>
          <w:rFonts w:ascii="宋体" w:hAnsi="宋体" w:cs="宋体"/>
          <w:sz w:val="24"/>
        </w:rPr>
      </w:pPr>
      <w:r>
        <w:rPr>
          <w:rFonts w:hint="eastAsia" w:hAnsi="宋体"/>
          <w:b/>
          <w:bCs/>
          <w:sz w:val="24"/>
        </w:rPr>
        <w:t>▲</w:t>
      </w:r>
      <w:r>
        <w:rPr>
          <w:rFonts w:hint="eastAsia" w:ascii="宋体" w:hAnsi="宋体" w:cs="宋体"/>
          <w:sz w:val="24"/>
        </w:rPr>
        <w:t>气瓶维护保养和检测：所有使用气瓶应符合国家安全质量要求，中标人负责对气瓶（含采购人提供的气瓶）进行维护保养，定期检验，并承担相关费用；每次附上检测合格证明，如采购人因气瓶年检或维修而出现周转困难，经双方同意，中标人应</w:t>
      </w:r>
      <w:r>
        <w:rPr>
          <w:rFonts w:hint="eastAsia" w:ascii="宋体" w:hAnsi="宋体" w:cs="宋体"/>
          <w:color w:val="000000" w:themeColor="text1"/>
          <w:sz w:val="24"/>
          <w14:textFill>
            <w14:solidFill>
              <w14:schemeClr w14:val="tx1"/>
            </w14:solidFill>
          </w14:textFill>
        </w:rPr>
        <w:t>无偿</w:t>
      </w:r>
      <w:r>
        <w:rPr>
          <w:rFonts w:hint="eastAsia" w:ascii="宋体" w:hAnsi="宋体" w:cs="宋体"/>
          <w:sz w:val="24"/>
        </w:rPr>
        <w:t>提供一定数量的气瓶给采购人使用，以满足采购人的要求为止。</w:t>
      </w:r>
    </w:p>
    <w:p>
      <w:pPr>
        <w:numPr>
          <w:ilvl w:val="0"/>
          <w:numId w:val="3"/>
        </w:numPr>
        <w:snapToGrid w:val="0"/>
        <w:spacing w:line="360" w:lineRule="auto"/>
        <w:ind w:left="0" w:firstLine="426"/>
        <w:rPr>
          <w:rFonts w:ascii="宋体" w:hAnsi="宋体" w:cs="宋体"/>
          <w:sz w:val="24"/>
        </w:rPr>
      </w:pPr>
      <w:r>
        <w:rPr>
          <w:rFonts w:hint="eastAsia" w:ascii="宋体" w:hAnsi="宋体" w:cs="宋体"/>
          <w:sz w:val="24"/>
        </w:rPr>
        <w:t>对不符合质量要求和标识要求的货品，采购人有权拒收，中标人应及时给予退换。</w:t>
      </w:r>
    </w:p>
    <w:p>
      <w:pPr>
        <w:numPr>
          <w:ilvl w:val="0"/>
          <w:numId w:val="3"/>
        </w:numPr>
        <w:snapToGrid w:val="0"/>
        <w:spacing w:line="360" w:lineRule="auto"/>
        <w:ind w:left="0" w:firstLine="426"/>
        <w:rPr>
          <w:rFonts w:ascii="宋体" w:hAnsi="宋体" w:cs="宋体"/>
          <w:sz w:val="24"/>
        </w:rPr>
      </w:pPr>
      <w:r>
        <w:rPr>
          <w:rFonts w:hint="eastAsia" w:ascii="宋体" w:hAnsi="宋体" w:cs="宋体"/>
          <w:sz w:val="24"/>
        </w:rPr>
        <w:t>中标人在协议期间，无偿向采购人操作人员提供相关医用气体用具安全使用等方面的技术指导。</w:t>
      </w:r>
    </w:p>
    <w:p>
      <w:pPr>
        <w:pStyle w:val="2"/>
        <w:numPr>
          <w:ilvl w:val="0"/>
          <w:numId w:val="1"/>
        </w:numPr>
        <w:tabs>
          <w:tab w:val="left" w:pos="540"/>
        </w:tabs>
        <w:adjustRightInd w:val="0"/>
        <w:snapToGrid w:val="0"/>
        <w:spacing w:line="360" w:lineRule="auto"/>
        <w:rPr>
          <w:rFonts w:asciiTheme="minorEastAsia" w:hAnsiTheme="minorEastAsia"/>
          <w:b/>
          <w:sz w:val="24"/>
          <w:szCs w:val="24"/>
        </w:rPr>
      </w:pPr>
      <w:r>
        <w:rPr>
          <w:rFonts w:hint="eastAsia" w:asciiTheme="minorEastAsia" w:hAnsiTheme="minorEastAsia"/>
          <w:b/>
          <w:sz w:val="24"/>
          <w:szCs w:val="24"/>
        </w:rPr>
        <w:t>服务要求：</w:t>
      </w:r>
    </w:p>
    <w:p>
      <w:pPr>
        <w:numPr>
          <w:ilvl w:val="0"/>
          <w:numId w:val="4"/>
        </w:numPr>
        <w:snapToGrid w:val="0"/>
        <w:spacing w:line="360" w:lineRule="auto"/>
        <w:ind w:left="0" w:firstLine="425"/>
        <w:rPr>
          <w:rFonts w:ascii="宋体" w:hAnsi="宋体" w:cs="宋体"/>
          <w:sz w:val="24"/>
        </w:rPr>
      </w:pPr>
      <w:r>
        <w:rPr>
          <w:rFonts w:hint="eastAsia" w:hAnsi="宋体"/>
          <w:b/>
          <w:bCs/>
          <w:color w:val="000000" w:themeColor="text1"/>
          <w:sz w:val="24"/>
          <w14:textFill>
            <w14:solidFill>
              <w14:schemeClr w14:val="tx1"/>
            </w14:solidFill>
          </w14:textFill>
        </w:rPr>
        <w:t>▲</w:t>
      </w:r>
      <w:r>
        <w:rPr>
          <w:rFonts w:hint="eastAsia" w:ascii="宋体" w:hAnsi="宋体" w:cs="宋体"/>
          <w:sz w:val="24"/>
        </w:rPr>
        <w:t>中标人需向采购人提供不少于</w:t>
      </w:r>
      <w:r>
        <w:rPr>
          <w:rFonts w:hint="eastAsia" w:ascii="宋体" w:hAnsi="宋体" w:cs="宋体"/>
          <w:color w:val="FF0000"/>
          <w:sz w:val="24"/>
          <w:lang w:val="en-US" w:eastAsia="zh-CN"/>
        </w:rPr>
        <w:t>40</w:t>
      </w:r>
      <w:r>
        <w:rPr>
          <w:rFonts w:hint="eastAsia" w:ascii="宋体" w:hAnsi="宋体" w:cs="宋体"/>
          <w:sz w:val="24"/>
        </w:rPr>
        <w:t>个质量合格的杜瓦罐和</w:t>
      </w:r>
      <w:r>
        <w:rPr>
          <w:rFonts w:hint="eastAsia" w:ascii="宋体" w:hAnsi="宋体" w:cs="宋体"/>
          <w:color w:val="FF0000"/>
          <w:sz w:val="24"/>
          <w:lang w:val="en-US" w:eastAsia="zh-CN"/>
        </w:rPr>
        <w:t>10</w:t>
      </w:r>
      <w:r>
        <w:rPr>
          <w:rFonts w:hint="eastAsia" w:ascii="宋体" w:hAnsi="宋体" w:cs="宋体"/>
          <w:sz w:val="24"/>
        </w:rPr>
        <w:t>个40L氧气专用钢瓶作气体周转之用。中标人应满足采购人在合同期内不间断用气的要求，并</w:t>
      </w:r>
      <w:r>
        <w:rPr>
          <w:rFonts w:ascii="宋体" w:hAnsi="宋体" w:cs="宋体"/>
          <w:sz w:val="24"/>
        </w:rPr>
        <w:t>承诺有应急预案</w:t>
      </w:r>
      <w:r>
        <w:rPr>
          <w:rFonts w:hint="eastAsia" w:ascii="宋体" w:hAnsi="宋体" w:cs="宋体"/>
          <w:sz w:val="24"/>
        </w:rPr>
        <w:t>。</w:t>
      </w:r>
    </w:p>
    <w:p>
      <w:pPr>
        <w:numPr>
          <w:ilvl w:val="0"/>
          <w:numId w:val="4"/>
        </w:numPr>
        <w:snapToGrid w:val="0"/>
        <w:spacing w:line="360" w:lineRule="auto"/>
        <w:ind w:left="0" w:firstLine="425"/>
        <w:rPr>
          <w:rFonts w:ascii="宋体" w:hAnsi="宋体" w:cs="宋体"/>
          <w:sz w:val="24"/>
        </w:rPr>
      </w:pPr>
      <w:r>
        <w:rPr>
          <w:rFonts w:hint="eastAsia" w:ascii="宋体" w:hAnsi="宋体" w:cs="宋体"/>
          <w:sz w:val="24"/>
        </w:rPr>
        <w:t>提供正式税务发票和盖有中标人公章的送货单、每批次的检验合格证。</w:t>
      </w:r>
    </w:p>
    <w:p>
      <w:pPr>
        <w:numPr>
          <w:ilvl w:val="0"/>
          <w:numId w:val="4"/>
        </w:numPr>
        <w:snapToGrid w:val="0"/>
        <w:spacing w:line="360" w:lineRule="auto"/>
        <w:ind w:left="0" w:firstLine="425"/>
        <w:rPr>
          <w:rFonts w:ascii="宋体" w:hAnsi="宋体" w:cs="宋体"/>
          <w:sz w:val="24"/>
        </w:rPr>
      </w:pPr>
      <w:r>
        <w:rPr>
          <w:rFonts w:hint="eastAsia" w:ascii="宋体" w:hAnsi="宋体" w:cs="宋体"/>
          <w:sz w:val="24"/>
        </w:rPr>
        <w:t>中标人能为采购人提供紧急技术支持，如需紧急维修，应在2小时或以内响应到现场处理。</w:t>
      </w:r>
    </w:p>
    <w:p>
      <w:pPr>
        <w:numPr>
          <w:ilvl w:val="0"/>
          <w:numId w:val="4"/>
        </w:numPr>
        <w:snapToGrid w:val="0"/>
        <w:spacing w:line="360" w:lineRule="auto"/>
        <w:ind w:left="0" w:firstLine="425"/>
        <w:rPr>
          <w:rFonts w:ascii="宋体" w:hAnsi="宋体" w:cs="宋体"/>
          <w:sz w:val="24"/>
        </w:rPr>
      </w:pPr>
      <w:r>
        <w:rPr>
          <w:rFonts w:hint="eastAsia" w:ascii="宋体" w:hAnsi="宋体" w:cs="宋体"/>
          <w:sz w:val="24"/>
        </w:rPr>
        <w:t>中标人提供的产品如出现质量问题、气瓶漏气等，中标人应在收到院方通知后12小时或以内给予无偿更换，否则，该批货物不给予支付货款。</w:t>
      </w:r>
    </w:p>
    <w:p>
      <w:pPr>
        <w:numPr>
          <w:ilvl w:val="0"/>
          <w:numId w:val="4"/>
        </w:numPr>
        <w:snapToGrid w:val="0"/>
        <w:spacing w:line="360" w:lineRule="auto"/>
        <w:ind w:left="0" w:firstLine="425"/>
        <w:rPr>
          <w:rFonts w:ascii="宋体" w:hAnsi="宋体" w:cs="宋体"/>
          <w:color w:val="FF0000"/>
          <w:sz w:val="24"/>
        </w:rPr>
      </w:pPr>
      <w:r>
        <w:rPr>
          <w:rFonts w:hint="eastAsia" w:ascii="宋体" w:hAnsi="宋体" w:cs="宋体"/>
          <w:sz w:val="24"/>
        </w:rPr>
        <w:t>交货地点：</w:t>
      </w:r>
      <w:r>
        <w:rPr>
          <w:rFonts w:hint="eastAsia" w:ascii="宋体" w:hAnsi="宋体" w:cs="宋体"/>
          <w:sz w:val="24"/>
          <w:lang w:eastAsia="zh-CN"/>
        </w:rPr>
        <w:t>广州市棠石路</w:t>
      </w:r>
      <w:r>
        <w:rPr>
          <w:rFonts w:hint="eastAsia" w:ascii="宋体" w:hAnsi="宋体" w:cs="宋体"/>
          <w:sz w:val="24"/>
          <w:lang w:val="en-US" w:eastAsia="zh-CN"/>
        </w:rPr>
        <w:t>9号天河区中医医院地下室中心供氧机房</w:t>
      </w:r>
      <w:r>
        <w:rPr>
          <w:rFonts w:hint="eastAsia" w:ascii="宋体" w:hAnsi="宋体" w:cs="宋体"/>
          <w:sz w:val="24"/>
        </w:rPr>
        <w:t>。</w:t>
      </w:r>
    </w:p>
    <w:p>
      <w:pPr>
        <w:numPr>
          <w:ilvl w:val="0"/>
          <w:numId w:val="4"/>
        </w:numPr>
        <w:snapToGrid w:val="0"/>
        <w:spacing w:line="360" w:lineRule="auto"/>
        <w:ind w:left="0" w:firstLine="425"/>
        <w:rPr>
          <w:rFonts w:ascii="宋体" w:hAnsi="宋体" w:cs="宋体"/>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交货方式：在正常上班工作日内，中标人按采购人要求提供的数量准时将货送达。特殊情况供货时间另行商定。</w:t>
      </w:r>
    </w:p>
    <w:p>
      <w:pPr>
        <w:numPr>
          <w:ilvl w:val="0"/>
          <w:numId w:val="4"/>
        </w:numPr>
        <w:snapToGrid w:val="0"/>
        <w:spacing w:line="360" w:lineRule="auto"/>
        <w:ind w:left="0" w:firstLine="425"/>
        <w:rPr>
          <w:rFonts w:hAnsi="宋体" w:cs="宋体"/>
          <w:sz w:val="24"/>
        </w:rPr>
      </w:pPr>
      <w:r>
        <w:rPr>
          <w:rFonts w:hint="eastAsia" w:hAnsi="宋体"/>
          <w:b/>
          <w:bCs/>
          <w:sz w:val="24"/>
        </w:rPr>
        <w:t>▲</w:t>
      </w:r>
      <w:r>
        <w:rPr>
          <w:rFonts w:hint="eastAsia" w:hAnsi="宋体" w:cs="宋体"/>
          <w:sz w:val="24"/>
        </w:rPr>
        <w:t>当采购人的使用科室因临床需要使用某一气体时，中标人有责任协助采购人联系、购买、运送该气体，以保证使用科室需求的正常供应。</w:t>
      </w:r>
    </w:p>
    <w:p>
      <w:pPr>
        <w:numPr>
          <w:ilvl w:val="0"/>
          <w:numId w:val="4"/>
        </w:numPr>
        <w:snapToGrid w:val="0"/>
        <w:spacing w:line="360" w:lineRule="auto"/>
        <w:ind w:left="0" w:firstLine="425"/>
        <w:rPr>
          <w:rFonts w:ascii="宋体" w:hAnsi="宋体" w:cs="宋体"/>
          <w:sz w:val="24"/>
        </w:rPr>
      </w:pPr>
      <w:r>
        <w:rPr>
          <w:rFonts w:hint="eastAsia" w:ascii="宋体" w:hAnsi="宋体" w:cs="宋体"/>
          <w:sz w:val="24"/>
        </w:rPr>
        <w:t>中标人为采购人的气体容器及供气设备的维修及检测提供无偿运输服务，为采购人供气设备的维修保养提供无偿技术支持。中标人需按时按采购人的要求提供医用气体，不能以任何理由延误或断供，否则中标人负全部责任。</w:t>
      </w:r>
    </w:p>
    <w:p>
      <w:pPr>
        <w:numPr>
          <w:ilvl w:val="0"/>
          <w:numId w:val="4"/>
        </w:numPr>
        <w:snapToGrid w:val="0"/>
        <w:spacing w:line="360" w:lineRule="auto"/>
        <w:ind w:left="0" w:firstLine="425"/>
        <w:rPr>
          <w:rFonts w:ascii="宋体" w:hAnsi="宋体" w:cs="宋体"/>
          <w:sz w:val="24"/>
        </w:rPr>
      </w:pPr>
      <w:r>
        <w:rPr>
          <w:rFonts w:hint="eastAsia" w:asciiTheme="minorEastAsia" w:hAnsiTheme="minorEastAsia" w:eastAsiaTheme="minorEastAsia"/>
          <w:sz w:val="24"/>
        </w:rPr>
        <w:t>投标人需具有第三方保障能力，以确保在发生特殊情况时或在紧急情况下，能够按实按质地把气体配送到采购人指定地点。</w:t>
      </w:r>
    </w:p>
    <w:p>
      <w:pPr>
        <w:pStyle w:val="2"/>
        <w:numPr>
          <w:ilvl w:val="0"/>
          <w:numId w:val="1"/>
        </w:numPr>
        <w:tabs>
          <w:tab w:val="left" w:pos="540"/>
        </w:tabs>
        <w:adjustRightInd w:val="0"/>
        <w:snapToGrid w:val="0"/>
        <w:spacing w:line="360" w:lineRule="auto"/>
        <w:rPr>
          <w:rFonts w:asciiTheme="minorEastAsia" w:hAnsiTheme="minorEastAsia"/>
          <w:b/>
          <w:sz w:val="24"/>
          <w:szCs w:val="24"/>
        </w:rPr>
      </w:pPr>
      <w:r>
        <w:rPr>
          <w:rFonts w:hint="eastAsia" w:asciiTheme="minorEastAsia" w:hAnsiTheme="minorEastAsia"/>
          <w:b/>
          <w:sz w:val="24"/>
          <w:szCs w:val="24"/>
        </w:rPr>
        <w:t>包装、保险及发运、保管要求</w:t>
      </w:r>
      <w:r>
        <w:rPr>
          <w:rFonts w:hint="eastAsia" w:asciiTheme="minorEastAsia" w:hAnsiTheme="minorEastAsia"/>
          <w:b/>
          <w:sz w:val="24"/>
          <w:szCs w:val="24"/>
          <w:lang w:eastAsia="zh-CN"/>
        </w:rPr>
        <w:t>：</w:t>
      </w:r>
    </w:p>
    <w:p>
      <w:pPr>
        <w:adjustRightInd w:val="0"/>
        <w:snapToGrid w:val="0"/>
        <w:spacing w:line="360" w:lineRule="auto"/>
        <w:ind w:firstLine="480" w:firstLineChars="200"/>
        <w:rPr>
          <w:rFonts w:ascii="宋体" w:hAnsi="宋体"/>
          <w:sz w:val="24"/>
        </w:rPr>
      </w:pPr>
      <w:r>
        <w:rPr>
          <w:rFonts w:hint="eastAsia" w:ascii="宋体" w:hAnsi="宋体"/>
          <w:sz w:val="24"/>
        </w:rPr>
        <w:t>1、中标人应采取相应措施对货物进行包装，确保货物在正常作业和装卸条件下安全无损地到达合同指定地点。</w:t>
      </w:r>
    </w:p>
    <w:p>
      <w:pPr>
        <w:pStyle w:val="2"/>
        <w:tabs>
          <w:tab w:val="left" w:pos="420"/>
          <w:tab w:val="left" w:pos="540"/>
          <w:tab w:val="left" w:pos="851"/>
          <w:tab w:val="left" w:pos="987"/>
        </w:tabs>
        <w:adjustRightInd w:val="0"/>
        <w:snapToGrid w:val="0"/>
        <w:spacing w:line="360" w:lineRule="auto"/>
        <w:ind w:left="420"/>
        <w:rPr>
          <w:rFonts w:hAnsi="宋体" w:cs="宋体"/>
          <w:sz w:val="24"/>
          <w:szCs w:val="24"/>
        </w:rPr>
      </w:pPr>
      <w:r>
        <w:rPr>
          <w:rFonts w:hint="eastAsia" w:hAnsi="宋体"/>
          <w:b/>
          <w:bCs/>
          <w:sz w:val="24"/>
          <w:szCs w:val="24"/>
        </w:rPr>
        <w:t>2、▲</w:t>
      </w:r>
      <w:r>
        <w:rPr>
          <w:rFonts w:hint="eastAsia" w:hAnsi="宋体" w:cs="宋体"/>
          <w:sz w:val="24"/>
          <w:szCs w:val="24"/>
        </w:rPr>
        <w:t>为保证本项目安全执行，投标人或</w:t>
      </w:r>
      <w:r>
        <w:rPr>
          <w:rFonts w:hAnsi="宋体" w:cs="宋体"/>
          <w:sz w:val="24"/>
          <w:szCs w:val="24"/>
        </w:rPr>
        <w:t>投标人委托</w:t>
      </w:r>
      <w:r>
        <w:rPr>
          <w:rFonts w:hint="eastAsia" w:hAnsi="宋体" w:cs="宋体"/>
          <w:sz w:val="24"/>
          <w:szCs w:val="24"/>
        </w:rPr>
        <w:t>物流公司</w:t>
      </w:r>
      <w:r>
        <w:rPr>
          <w:rFonts w:hAnsi="宋体" w:cs="宋体"/>
          <w:sz w:val="24"/>
          <w:szCs w:val="24"/>
        </w:rPr>
        <w:t>的</w:t>
      </w:r>
      <w:r>
        <w:rPr>
          <w:rFonts w:hint="eastAsia" w:hAnsi="宋体" w:cs="宋体"/>
          <w:sz w:val="24"/>
          <w:szCs w:val="24"/>
        </w:rPr>
        <w:t>需配备不少于两名的送货人员，送货员需具有道路危险货物运输押运人员证。（提供对应送货人员的有效期内的危险货物运输押运员证复印件）</w:t>
      </w:r>
    </w:p>
    <w:p>
      <w:pPr>
        <w:pStyle w:val="2"/>
        <w:numPr>
          <w:ilvl w:val="0"/>
          <w:numId w:val="1"/>
        </w:numPr>
        <w:tabs>
          <w:tab w:val="left" w:pos="540"/>
        </w:tabs>
        <w:adjustRightInd w:val="0"/>
        <w:snapToGrid w:val="0"/>
        <w:spacing w:line="360" w:lineRule="auto"/>
        <w:rPr>
          <w:rFonts w:asciiTheme="minorEastAsia" w:hAnsiTheme="minorEastAsia"/>
          <w:b/>
          <w:sz w:val="24"/>
          <w:szCs w:val="24"/>
        </w:rPr>
      </w:pPr>
      <w:r>
        <w:rPr>
          <w:rFonts w:hint="eastAsia" w:asciiTheme="minorEastAsia" w:hAnsiTheme="minorEastAsia"/>
          <w:b/>
          <w:sz w:val="24"/>
          <w:szCs w:val="24"/>
        </w:rPr>
        <w:t>付款方式</w:t>
      </w:r>
    </w:p>
    <w:p>
      <w:pPr>
        <w:numPr>
          <w:ilvl w:val="0"/>
          <w:numId w:val="5"/>
        </w:numPr>
        <w:autoSpaceDE w:val="0"/>
        <w:autoSpaceDN w:val="0"/>
        <w:adjustRightInd w:val="0"/>
        <w:snapToGrid w:val="0"/>
        <w:spacing w:line="360" w:lineRule="auto"/>
        <w:jc w:val="left"/>
        <w:rPr>
          <w:rFonts w:ascii="宋体" w:hAnsi="宋体"/>
          <w:sz w:val="24"/>
        </w:rPr>
      </w:pPr>
      <w:r>
        <w:rPr>
          <w:rFonts w:hint="eastAsia" w:ascii="宋体" w:hAnsi="宋体"/>
          <w:b/>
          <w:bCs/>
          <w:sz w:val="24"/>
        </w:rPr>
        <w:t>▲</w:t>
      </w:r>
      <w:r>
        <w:rPr>
          <w:rFonts w:hint="eastAsia" w:ascii="宋体" w:hAnsi="宋体"/>
          <w:sz w:val="24"/>
        </w:rPr>
        <w:t>按月结算，中标人在每月5日前凭采购人主管科室签收的凭证、国家正式发票和请款报告向采购人申请支付上一个月的货款，采购人收到中标人提交的签收凭证、发票和请款报告核对无误后在5个工作日内办理货款支付手续，以支票或转帐方式支付货款。</w:t>
      </w:r>
    </w:p>
    <w:p>
      <w:pPr>
        <w:numPr>
          <w:ilvl w:val="0"/>
          <w:numId w:val="5"/>
        </w:numPr>
        <w:autoSpaceDE w:val="0"/>
        <w:autoSpaceDN w:val="0"/>
        <w:adjustRightInd w:val="0"/>
        <w:snapToGrid w:val="0"/>
        <w:spacing w:line="360" w:lineRule="auto"/>
        <w:jc w:val="left"/>
        <w:rPr>
          <w:rFonts w:ascii="宋体" w:hAnsi="宋体"/>
          <w:kern w:val="21"/>
          <w:sz w:val="24"/>
        </w:rPr>
      </w:pPr>
      <w:r>
        <w:rPr>
          <w:rFonts w:hint="eastAsia" w:ascii="宋体" w:hAnsi="宋体"/>
          <w:kern w:val="21"/>
          <w:sz w:val="24"/>
        </w:rPr>
        <w:t>付款方式：采用支票或转账的形式。</w:t>
      </w:r>
    </w:p>
    <w:p>
      <w:pPr>
        <w:numPr>
          <w:ilvl w:val="0"/>
          <w:numId w:val="5"/>
        </w:numPr>
        <w:autoSpaceDE w:val="0"/>
        <w:autoSpaceDN w:val="0"/>
        <w:adjustRightInd w:val="0"/>
        <w:snapToGrid w:val="0"/>
        <w:spacing w:line="360" w:lineRule="auto"/>
        <w:jc w:val="left"/>
        <w:rPr>
          <w:rFonts w:ascii="宋体" w:hAnsi="宋体"/>
          <w:kern w:val="21"/>
          <w:sz w:val="24"/>
        </w:rPr>
      </w:pPr>
      <w:r>
        <w:rPr>
          <w:rFonts w:hint="eastAsia" w:ascii="宋体" w:hAnsi="宋体"/>
          <w:kern w:val="21"/>
          <w:sz w:val="24"/>
        </w:rPr>
        <w:t>按合同支付款项前，中标人必须先向采购人提供与支付金额相符的有效发票，且收款方、出具发票方、合同乙方均必须与中标人名称一致。</w:t>
      </w:r>
    </w:p>
    <w:p>
      <w:pPr>
        <w:numPr>
          <w:ilvl w:val="0"/>
          <w:numId w:val="5"/>
        </w:numPr>
        <w:autoSpaceDE w:val="0"/>
        <w:autoSpaceDN w:val="0"/>
        <w:adjustRightInd w:val="0"/>
        <w:snapToGrid w:val="0"/>
        <w:spacing w:line="360" w:lineRule="auto"/>
        <w:jc w:val="left"/>
        <w:rPr>
          <w:rFonts w:ascii="宋体" w:hAnsi="宋体"/>
          <w:kern w:val="21"/>
          <w:sz w:val="24"/>
        </w:rPr>
      </w:pPr>
      <w:r>
        <w:rPr>
          <w:rFonts w:hint="eastAsia" w:ascii="宋体" w:hAnsi="宋体"/>
          <w:kern w:val="21"/>
          <w:sz w:val="24"/>
        </w:rPr>
        <w:t>中标人凭以下有效文件与采购人结算：</w:t>
      </w:r>
    </w:p>
    <w:p>
      <w:pPr>
        <w:adjustRightInd w:val="0"/>
        <w:snapToGrid w:val="0"/>
        <w:spacing w:line="360" w:lineRule="auto"/>
        <w:ind w:firstLine="360" w:firstLineChars="150"/>
        <w:rPr>
          <w:rFonts w:ascii="宋体" w:hAnsi="宋体"/>
          <w:sz w:val="24"/>
        </w:rPr>
      </w:pPr>
      <w:r>
        <w:rPr>
          <w:rFonts w:hint="eastAsia" w:ascii="宋体" w:hAnsi="宋体"/>
          <w:sz w:val="24"/>
        </w:rPr>
        <w:t>（1）</w:t>
      </w:r>
      <w:r>
        <w:rPr>
          <w:rFonts w:ascii="宋体" w:hAnsi="宋体"/>
          <w:sz w:val="24"/>
        </w:rPr>
        <w:t>合同；</w:t>
      </w:r>
    </w:p>
    <w:p>
      <w:pPr>
        <w:adjustRightInd w:val="0"/>
        <w:snapToGrid w:val="0"/>
        <w:spacing w:line="360" w:lineRule="auto"/>
        <w:ind w:firstLine="360" w:firstLineChars="150"/>
        <w:rPr>
          <w:rFonts w:ascii="宋体" w:hAnsi="宋体"/>
          <w:sz w:val="24"/>
        </w:rPr>
      </w:pPr>
      <w:r>
        <w:rPr>
          <w:rFonts w:hint="eastAsia" w:ascii="宋体" w:hAnsi="宋体"/>
          <w:sz w:val="24"/>
        </w:rPr>
        <w:t>（2）</w:t>
      </w:r>
      <w:r>
        <w:rPr>
          <w:rFonts w:ascii="宋体" w:hAnsi="宋体"/>
          <w:sz w:val="24"/>
        </w:rPr>
        <w:t>中标人开具的正式发票；</w:t>
      </w:r>
    </w:p>
    <w:p>
      <w:pPr>
        <w:adjustRightInd w:val="0"/>
        <w:snapToGrid w:val="0"/>
        <w:spacing w:line="360" w:lineRule="auto"/>
        <w:ind w:firstLine="360" w:firstLineChars="150"/>
        <w:rPr>
          <w:rFonts w:ascii="宋体" w:hAnsi="宋体"/>
          <w:sz w:val="24"/>
        </w:rPr>
      </w:pPr>
      <w:r>
        <w:rPr>
          <w:rFonts w:hint="eastAsia" w:ascii="宋体" w:hAnsi="宋体"/>
          <w:sz w:val="24"/>
        </w:rPr>
        <w:t>（3）签收凭证</w:t>
      </w:r>
      <w:r>
        <w:rPr>
          <w:rFonts w:ascii="宋体" w:hAnsi="宋体"/>
          <w:sz w:val="24"/>
        </w:rPr>
        <w:t>；</w:t>
      </w:r>
    </w:p>
    <w:p>
      <w:pPr>
        <w:adjustRightInd w:val="0"/>
        <w:snapToGrid w:val="0"/>
        <w:spacing w:line="360" w:lineRule="auto"/>
        <w:ind w:firstLine="360" w:firstLineChars="150"/>
        <w:rPr>
          <w:rFonts w:ascii="宋体" w:hAnsi="宋体"/>
          <w:sz w:val="24"/>
        </w:rPr>
      </w:pPr>
      <w:r>
        <w:rPr>
          <w:rFonts w:hint="eastAsia" w:ascii="宋体" w:hAnsi="宋体"/>
          <w:sz w:val="24"/>
        </w:rPr>
        <w:t>（4）请款报告；</w:t>
      </w:r>
    </w:p>
    <w:p>
      <w:pPr>
        <w:adjustRightInd w:val="0"/>
        <w:snapToGrid w:val="0"/>
        <w:spacing w:line="360" w:lineRule="auto"/>
        <w:ind w:firstLine="360" w:firstLineChars="150"/>
        <w:rPr>
          <w:rFonts w:ascii="宋体" w:hAnsi="宋体"/>
          <w:sz w:val="24"/>
        </w:rPr>
      </w:pPr>
      <w:r>
        <w:rPr>
          <w:rFonts w:hint="eastAsia" w:ascii="宋体" w:hAnsi="宋体"/>
          <w:sz w:val="24"/>
        </w:rPr>
        <w:t>（5）验收报告（盖采购人公章）；</w:t>
      </w:r>
    </w:p>
    <w:p>
      <w:pPr>
        <w:adjustRightInd w:val="0"/>
        <w:snapToGrid w:val="0"/>
        <w:spacing w:line="360" w:lineRule="auto"/>
        <w:ind w:firstLine="360" w:firstLineChars="150"/>
        <w:rPr>
          <w:rFonts w:ascii="宋体" w:hAnsi="宋体"/>
          <w:sz w:val="24"/>
        </w:rPr>
      </w:pPr>
    </w:p>
    <w:p>
      <w:pPr>
        <w:spacing w:before="120" w:beforeLines="50" w:after="120" w:afterLines="50" w:line="360" w:lineRule="auto"/>
        <w:outlineLvl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C7D"/>
    <w:multiLevelType w:val="multilevel"/>
    <w:tmpl w:val="0DE24C7D"/>
    <w:lvl w:ilvl="0" w:tentative="0">
      <w:start w:val="1"/>
      <w:numFmt w:val="decimal"/>
      <w:lvlText w:val="%1."/>
      <w:lvlJc w:val="left"/>
      <w:pPr>
        <w:ind w:left="420" w:hanging="420"/>
      </w:pPr>
      <w:rPr>
        <w:rFonts w:hint="default" w:ascii="宋体" w:hAnsi="宋体" w:eastAsia="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8925ABF"/>
    <w:multiLevelType w:val="multilevel"/>
    <w:tmpl w:val="18925ABF"/>
    <w:lvl w:ilvl="0" w:tentative="0">
      <w:start w:val="1"/>
      <w:numFmt w:val="chineseCountingThousand"/>
      <w:lvlText w:val="(%1)"/>
      <w:lvlJc w:val="left"/>
      <w:pPr>
        <w:tabs>
          <w:tab w:val="left" w:pos="420"/>
        </w:tabs>
        <w:ind w:left="420" w:hanging="420"/>
      </w:pPr>
      <w:rPr>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5AC778E"/>
    <w:multiLevelType w:val="multilevel"/>
    <w:tmpl w:val="25AC778E"/>
    <w:lvl w:ilvl="0" w:tentative="0">
      <w:start w:val="1"/>
      <w:numFmt w:val="japaneseCounting"/>
      <w:lvlText w:val="%1、"/>
      <w:lvlJc w:val="left"/>
      <w:pPr>
        <w:tabs>
          <w:tab w:val="left" w:pos="420"/>
        </w:tabs>
        <w:ind w:left="420" w:hanging="420"/>
      </w:pPr>
      <w:rPr>
        <w:rFonts w:ascii="宋体" w:hAnsi="宋体" w:eastAsia="宋体" w:cs="Courier New"/>
        <w:b/>
        <w:color w:val="auto"/>
      </w:rPr>
    </w:lvl>
    <w:lvl w:ilvl="1" w:tentative="0">
      <w:start w:val="1"/>
      <w:numFmt w:val="decimal"/>
      <w:lvlText w:val="%2、"/>
      <w:lvlJc w:val="left"/>
      <w:pPr>
        <w:tabs>
          <w:tab w:val="left" w:pos="780"/>
        </w:tabs>
        <w:ind w:left="780" w:hanging="360"/>
      </w:pPr>
      <w:rPr>
        <w:rFonts w:hint="default"/>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1353450"/>
    <w:multiLevelType w:val="multilevel"/>
    <w:tmpl w:val="51353450"/>
    <w:lvl w:ilvl="0" w:tentative="0">
      <w:start w:val="1"/>
      <w:numFmt w:val="decimal"/>
      <w:lvlText w:val="%1."/>
      <w:lvlJc w:val="left"/>
      <w:pPr>
        <w:ind w:left="420" w:hanging="42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DAF3289"/>
    <w:multiLevelType w:val="multilevel"/>
    <w:tmpl w:val="6DAF3289"/>
    <w:lvl w:ilvl="0" w:tentative="0">
      <w:start w:val="1"/>
      <w:numFmt w:val="decimal"/>
      <w:lvlText w:val="%1."/>
      <w:lvlJc w:val="left"/>
      <w:pPr>
        <w:tabs>
          <w:tab w:val="left" w:pos="425"/>
        </w:tabs>
        <w:ind w:left="425" w:hanging="425"/>
      </w:pPr>
      <w:rPr>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75141"/>
    <w:rsid w:val="16775141"/>
    <w:rsid w:val="1C52654D"/>
    <w:rsid w:val="63C00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eastAsiaTheme="minorEastAsia"/>
      <w:szCs w:val="21"/>
    </w:rPr>
  </w:style>
  <w:style w:type="paragraph" w:customStyle="1" w:styleId="5">
    <w:name w:val="图"/>
    <w:basedOn w:val="1"/>
    <w:uiPriority w:val="0"/>
    <w:pPr>
      <w:keepNext/>
      <w:adjustRightInd w:val="0"/>
      <w:spacing w:before="60" w:beforeLines="0" w:after="60" w:afterLines="0" w:line="300" w:lineRule="auto"/>
      <w:jc w:val="center"/>
      <w:textAlignment w:val="center"/>
    </w:pPr>
    <w:rPr>
      <w:snapToGrid w:val="0"/>
      <w:spacing w:val="20"/>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区卫生和计划生育局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2019-12-31T00:55:00Z</dcterms:created>
  <dc:creator>Administrator</dc:creator>
  <cp:lastModifiedBy>Administrator</cp:lastModifiedBy>
  <dcterms:modified xsi:type="dcterms:W3CDTF">2020-01-11T09:03:26Z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