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both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用户需求书</w:t>
      </w:r>
      <w:r>
        <w:rPr>
          <w:rFonts w:hint="eastAsia"/>
          <w:b/>
          <w:sz w:val="32"/>
          <w:szCs w:val="32"/>
        </w:rPr>
        <w:t>（</w:t>
      </w:r>
      <w:r>
        <w:rPr>
          <w:rFonts w:hint="eastAsia" w:ascii="宋体" w:hAnsi="宋体" w:cs="宋体"/>
          <w:b/>
          <w:kern w:val="0"/>
          <w:sz w:val="32"/>
          <w:szCs w:val="32"/>
        </w:rPr>
        <w:t>本技术要求仅做参考，不是唯一指标）</w:t>
      </w:r>
    </w:p>
    <w:p>
      <w:pPr>
        <w:widowControl/>
        <w:autoSpaceDE w:val="0"/>
        <w:spacing w:before="150" w:after="302" w:line="390" w:lineRule="atLeast"/>
        <w:jc w:val="center"/>
        <w:rPr>
          <w:rFonts w:hint="eastAsia" w:ascii="仿宋" w:hAnsi="仿宋" w:eastAsia="仿宋" w:cs="仿宋"/>
          <w:b/>
          <w:color w:val="474747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32"/>
          <w:szCs w:val="32"/>
          <w:shd w:val="clear" w:color="auto" w:fill="FFFFFF"/>
          <w:lang w:val="en-US" w:eastAsia="zh-CN" w:bidi="ar"/>
        </w:rPr>
        <w:t>1.5T核磁共振成像系统主要技术要求等相关内容：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一、用于临床常规检查，需要满足头颈、腹部、盆腔、关节、神经、肿瘤、心血管、乳腺等多方面临床综合性诊断需要。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二、、技术需求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2.1拟采购设备需为通过FDA认证及NMPA认证的高档1.5T磁共振机型。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2.2磁体场强：≥1.5T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2.3磁体孔径：≥60cm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2.4梯度场强：≥33mT/m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2.5梯度切换率：≥120T/m/s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2.6射频通道数：≥32通道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三、功能需求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3.1神经成像功能包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3.2体部成像功能包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3.3骨关节成像功能包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3.4心脏成像功能包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3.5血管成像功能包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3.6肿瘤成像功能包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3.7儿科成像功能包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3.8乳腺成像软件包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四、基本配置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1. 磁共振主系统（磁体、梯度、射频系统）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2. 磁共振一体化线圈系统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3. 磁共振标准化线圈（头颈、体部、脊柱、多功能关节线圈、乳腺线圈）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4. 磁共振操作及后处理系统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5. 神经成像功能包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6. 体部成像功能包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7. 骨关节成像功能包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8. 心脏成像功能包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9. 血管成像功能包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10. 肿瘤成像功能包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11. 儿科成像功能包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12. 乳腺成像软件包</w:t>
      </w: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val="en-US" w:eastAsia="zh-CN" w:bidi="ar"/>
        </w:rPr>
        <w:t>五、配置清单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990" w:tblpY="712"/>
        <w:tblOverlap w:val="never"/>
        <w:tblW w:w="10446" w:type="dxa"/>
        <w:tblInd w:w="0" w:type="dxa"/>
        <w:tbl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single" w:color="4472C4" w:sz="4" w:space="0"/>
          <w:insideV w:val="single" w:color="4472C4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77"/>
        <w:gridCol w:w="6096"/>
        <w:gridCol w:w="1663"/>
      </w:tblGrid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序 号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数 量</w:t>
            </w:r>
          </w:p>
        </w:tc>
        <w:tc>
          <w:tcPr>
            <w:tcW w:w="6096" w:type="dxa"/>
            <w:shd w:val="clear" w:color="auto" w:fill="auto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说 明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备 注</w:t>
            </w: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096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磁共振专用水冷系统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096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磁共振扫描平台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操作平台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磁共振专用精密空调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磁共振后处理工作站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（原厂）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膝关节专用线圈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position w:val="-10"/>
                <w:sz w:val="24"/>
                <w:shd w:val="clear" w:color="auto" w:fill="FFFFFF"/>
                <w:lang w:val="en-US" w:eastAsia="zh-CN" w:bidi="ar"/>
              </w:rPr>
              <w:object>
                <v:shape id="_x0000_i1025" o:spt="75" type="#_x0000_t75" style="height:17pt;width:72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KSEE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≧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8通道</w:t>
            </w: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肩关节专用线圈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≧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8通道</w:t>
            </w: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踝关节专用线圈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≧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8通道</w:t>
            </w: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腕关节专用线圈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≧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8通道</w:t>
            </w: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10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乳腺专用线圈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≧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8通道</w:t>
            </w: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11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  <w:t>各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无磁转运床，无磁轮椅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4M医用专业显示屏及电脑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负责机房磁屏蔽（场地屏蔽防护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包含线圈柜）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  <w:t>出具第三方检测合格报告</w:t>
            </w: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MR专用高压注射器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5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铁磁探测系统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  <w:t>或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装置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6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  <w:t>2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操作间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  <w:t>冷热调节器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7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eastAsia="zh-CN"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无磁紫外线消毒灯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18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bidi="ar"/>
              </w:rPr>
              <w:t>1+2年保</w:t>
            </w: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  <w:t>修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19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  <w:t>无磁监控系统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4472C4" w:sz="4" w:space="0"/>
            <w:left w:val="single" w:color="4472C4" w:sz="4" w:space="0"/>
            <w:bottom w:val="single" w:color="4472C4" w:sz="4" w:space="0"/>
            <w:right w:val="single" w:color="4472C4" w:sz="4" w:space="0"/>
            <w:insideH w:val="single" w:color="4472C4" w:sz="4" w:space="0"/>
            <w:insideV w:val="single" w:color="4472C4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0" w:type="dxa"/>
            <w:tcBorders>
              <w:right w:val="nil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20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6096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val="fr-FR" w:eastAsia="zh-CN" w:bidi="ar"/>
              </w:rPr>
              <w:t>无磁灭火器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autoSpaceDE w:val="0"/>
              <w:spacing w:before="150" w:after="302" w:line="390" w:lineRule="atLeast"/>
              <w:jc w:val="left"/>
              <w:rPr>
                <w:rFonts w:hint="eastAsia" w:ascii="仿宋" w:hAnsi="仿宋" w:eastAsia="仿宋" w:cs="仿宋"/>
                <w:b/>
                <w:color w:val="474747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1C9E"/>
    <w:rsid w:val="03D169D9"/>
    <w:rsid w:val="2D480560"/>
    <w:rsid w:val="67E53309"/>
    <w:rsid w:val="6DCB6B20"/>
    <w:rsid w:val="7695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清单表 3 - 着色 51"/>
    <w:basedOn w:val="3"/>
    <w:qFormat/>
    <w:uiPriority w:val="48"/>
    <w:tblPr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shd w:val="clear" w:color="auto" w:fill="4472C4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single" w:color="4472C4" w:sz="4" w:space="0"/>
          <w:bottom w:val="nil"/>
          <w:right w:val="single" w:color="4472C4" w:sz="4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472C4" w:sz="4" w:space="0"/>
          <w:left w:val="nil"/>
          <w:bottom w:val="single" w:color="4472C4" w:sz="4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2022-05-07T07:14:03Z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