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包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4设备售后服务要求</w:t>
      </w:r>
    </w:p>
    <w:p>
      <w:pPr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.仪器的安装、调试：由厂家工程师负责，到医院现场安装、调试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1"/>
          <w:szCs w:val="21"/>
        </w:rPr>
        <w:t>培训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</w:rPr>
        <w:t>拆除的包装负责清理。</w:t>
      </w:r>
    </w:p>
    <w:p>
      <w:pPr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3.设备整机保修≥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年, 以医院的验收报告时间起算。</w:t>
      </w:r>
    </w:p>
    <w:p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可视喉镜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1、喉镜与显示屏一体化结构，便携易用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2、一支喉镜手柄可与大、中、小等五种以上不同规格的镜片匹配使用，适用范围广                                    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3、全防水设计，可浸泡消毒，摄像头内置的全密封防水设计高功率LED光源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4、镜头像素：摄像头进口不低于300万像素摄像头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5、液晶屏像素（PIX）不低于320*240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6、分辨率≥3.72lp/mm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7、光照度：≥150 Lux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8、低电量屏幕显示功能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9、一次性视频喉镜片为进口医用级高分子PC材料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10、摄像头与镜片前端垂直距离：≤30mm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11、可插入镜片长度约：80-132mm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12、渐缩型镜片前端厚度约：11-17mm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13、镜片角度约：33-44度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14、高清数字化系统芯片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15、一键拍照/录像功能</w:t>
      </w:r>
    </w:p>
    <w:p>
      <w:pPr>
        <w:widowControl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电动病床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1、床体参考尺寸约：2260mm*1050mm*1140mm/960mm，床面尺寸约：1940mm*900mm，床体的四角均具备输液架插孔，床面离地高度约：530mm-710mm；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2、背部上升：倾斜角度0～65°，膝部上升：倾斜角度0～45°，腿部面板角度0～30°，整床前倾斜角度：10°，整床后倾斜角度：10°；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3、最大承重：240kg，电动推杆：不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少</w:t>
      </w:r>
      <w:r>
        <w:rPr>
          <w:rFonts w:hint="default" w:ascii="Times New Roman" w:hAnsi="Times New Roman" w:eastAsia="宋体" w:cs="Times New Roman"/>
          <w:sz w:val="21"/>
          <w:szCs w:val="21"/>
        </w:rPr>
        <w:t>于5个，蓄电池：不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少</w:t>
      </w:r>
      <w:r>
        <w:rPr>
          <w:rFonts w:hint="default" w:ascii="Times New Roman" w:hAnsi="Times New Roman" w:eastAsia="宋体" w:cs="Times New Roman"/>
          <w:sz w:val="21"/>
          <w:szCs w:val="21"/>
        </w:rPr>
        <w:t>于2节；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4、床垫：床垫尺寸和分段与病床相配，床垫外套采用优质防水布，外套带有拉链，有透气孔，换洗方便经久耐用，床垫具有良好的弹性和韧性；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5、床尾板设有触摸感应操作键盘，床头的床框上设置急停按钮；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6、床面板：床面板背部具备CPR功能，通过手动开关可快速升起或快速放平；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7、中控底盘：通过刹车转接和刹车连杆机构控制刹车实现一键制动和解刹。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8、刹车：采用电动刹车；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9、四片式护栏。护栏通过铰链运行升降并装有阻尼器，护栏下降后暗藏于床面下方，使病床与转运床实现无缝拼接。四片护栏均带有角度显示器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10、操作界面采用感应触摸键盘：头端双侧护栏的内外侧均具备非线控内置式触摸操作面板，控制整床的各种姿态及一键展平和一键刹车等动作；头端护栏内外侧医患操作键分开；头端护栏的内侧具有内置式患者操作面板。外侧是医护人员操作面板并设有护栏操作面板锁定键防患者误操作；床尾板具备非线控内置式触摸操作面板，控制整床的各种姿态及一键展平和一键刹车等动作；床尾板的锁定操作面板可锁定所有操作触摸键。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降温毯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1、整机通过电磁兼容（EMC）检测，显著降低电磁兼容相关的风险,提供相关电磁兼容检测报告复印件；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2、头帽，可调大小；毯面可有效预防冷凝水，无毒、无过敏反应，低温柔韧性好，耐臭氧，使用寿命更长久；可修补毯面，以方便临床使用、节约使用成本。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3、温度控制范围：在环境温度10°C ~ 30°C条件下，水箱的温度在约3°C ~ 40°C的范围内可调；温度独立可调至具体数值；调节温度精准精度为± 0.1°C。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4、采用压缩机制冷方式；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5、体温设定：体温设定范围约30 ~ 38.5°C ，温度独立可调至具体数值，调节精准度 ± 0.1°C；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6、低阻力水毯采用等径水路与随机水流设计，配合每分钟约75升的循环流量，确保快速水循环和高效热交换；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7、水路连接采用快速插头，插拔方便，接驳可靠；毯管分离，以便临床使用。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8、毯面温度均匀，毯面温度误差不大于3 °C；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9、毯面负重不小于100 kg，不得出现破损和毯面内渗漏现象；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10、噪声：降温毯主机运转平稳，其整机噪声＜60 dB；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11、密封性：降温毯循环水的管路密封性应良好，无漏水，滴水现象；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12、配置要求：头毯1条、躯干毯1条、股动脉毯二条，连接管加长型8条、温度传感器2条。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床边肌钙蛋白检测仪：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1.检测速度:≥100T/H；首结果时间:≤15分钟，全自动化学发光原理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2.样本类型:全血、血清、血浆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3.样本量约:10-150ul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4.样本自动加样，不需要人工加样及每次加样，节省操作时间及杜绝交叉污染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5.急诊样本: 可随时插入急诊样本进行检查，不影响出急诊报告时间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6.试剂位:≥10个试剂位，冷藏温度2～8℃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7.同时分析项目:可同时分析5项以上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8.不停机添加试剂，耗材等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9.耗材状态提示:指示耗材和固体废弃物状态，提醒更换耗材或清空固体废弃物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10.可与Lis系统连接，故障自我诊断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11.检测结果准确率必须≥98%（与我院检验科进行数据比对）</w:t>
      </w:r>
    </w:p>
    <w:p>
      <w:pPr>
        <w:widowControl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高流量呼吸湿化治疗仪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1、流量约2-80L/min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2、最低露点温度不少于：31℃，34℃，37℃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3、最大氧气输入约80L/min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4、氧气浓度测量：约21%-100%，误差±3%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5、噪音：10L/min，＜20dB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6、输送气体最高温度约43.0℃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7、预热时间：约10分钟达到31℃，约30分钟达到37℃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8、湿化罐最大容量：≥90ml</w:t>
      </w:r>
    </w:p>
    <w:p/>
    <w:p>
      <w:pP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六、转运车床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用于病人转运对接、抢救；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规格：有高低升降功能；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安全工作载荷≧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0KG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背部升降系统：背部升降采用静音气弹簧控制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床板：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PP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树脂成型制品；框架：采用钢制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/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部分铝制品制成；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5.护栏板：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PP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树脂成型两侧护栏板，高度约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300mm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；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6.脚轮：中控锁双面防缠绕功能脚轮，推车四角都有脚轮控制系统，一脚制动；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7.床体下设二段式托盘，托盘分为大小、深浅不同的两部分；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8.输液架收藏架，固定收藏输液架；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 xml:space="preserve"> 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9.氧气瓶搁架，可放置氧气瓶并且可以进行旋转，不用时可以收纳在床体下方，使用时可以旋转出来；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10.转运床垫：面料表面防水处理，易于清洗，四角装有拉链，外部面料可水洗，只需一人操作即可以平行对接和转运病人。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39P36DmT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60DmT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2139"/>
    <w:rsid w:val="038F1610"/>
    <w:rsid w:val="0A447138"/>
    <w:rsid w:val="21A148EC"/>
    <w:rsid w:val="25122139"/>
    <w:rsid w:val="3EA34B58"/>
    <w:rsid w:val="420D2A6A"/>
    <w:rsid w:val="49D932E0"/>
    <w:rsid w:val="6726504E"/>
    <w:rsid w:val="68F35521"/>
    <w:rsid w:val="6AE858EC"/>
    <w:rsid w:val="72166214"/>
    <w:rsid w:val="7834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区卫生和计划生育局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2024-08-14T01:33:00Z</dcterms:created>
  <dc:creator>Administrator</dc:creator>
  <cp:lastModifiedBy>Administrator</cp:lastModifiedBy>
  <cp:lastPrinted>2024-08-14T08:07:00Z</cp:lastPrinted>
  <dcterms:modified xsi:type="dcterms:W3CDTF">2024-08-15T02:46:18Z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