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0"/>
        <w:rPr>
          <w:rFonts w:hint="eastAsia" w:ascii="宋体" w:hAnsi="宋体" w:cs="宋体"/>
          <w:b/>
          <w:bCs/>
          <w:kern w:val="21"/>
          <w:sz w:val="44"/>
          <w:szCs w:val="44"/>
        </w:rPr>
      </w:pPr>
      <w:bookmarkStart w:id="0" w:name="OLE_LINK2"/>
    </w:p>
    <w:p>
      <w:pPr>
        <w:spacing w:line="360" w:lineRule="auto"/>
        <w:jc w:val="center"/>
        <w:outlineLvl w:val="0"/>
        <w:rPr>
          <w:rFonts w:hint="eastAsia" w:ascii="宋体" w:hAnsi="宋体" w:cs="宋体"/>
          <w:b/>
          <w:bCs/>
          <w:kern w:val="21"/>
          <w:sz w:val="44"/>
          <w:szCs w:val="44"/>
        </w:rPr>
      </w:pPr>
    </w:p>
    <w:p>
      <w:pPr>
        <w:spacing w:line="360" w:lineRule="auto"/>
        <w:jc w:val="center"/>
        <w:outlineLvl w:val="0"/>
        <w:rPr>
          <w:rFonts w:hint="eastAsia" w:ascii="宋体" w:hAnsi="宋体" w:cs="宋体"/>
          <w:b/>
          <w:bCs/>
          <w:kern w:val="21"/>
          <w:sz w:val="44"/>
          <w:szCs w:val="44"/>
        </w:rPr>
      </w:pPr>
      <w:r>
        <w:rPr>
          <w:rFonts w:hint="eastAsia" w:ascii="宋体" w:hAnsi="宋体" w:cs="宋体"/>
          <w:b/>
          <w:bCs/>
          <w:kern w:val="21"/>
          <w:sz w:val="44"/>
          <w:szCs w:val="44"/>
        </w:rPr>
        <w:t>广州市天河区中医医院</w:t>
      </w:r>
    </w:p>
    <w:p>
      <w:pPr>
        <w:spacing w:line="360" w:lineRule="auto"/>
        <w:jc w:val="center"/>
        <w:outlineLvl w:val="0"/>
        <w:rPr>
          <w:rFonts w:hint="eastAsia" w:ascii="宋体" w:hAnsi="宋体" w:cs="宋体"/>
          <w:b/>
          <w:bCs/>
          <w:kern w:val="21"/>
          <w:sz w:val="44"/>
          <w:szCs w:val="44"/>
        </w:rPr>
      </w:pPr>
      <w:r>
        <w:rPr>
          <w:rFonts w:hint="eastAsia" w:ascii="宋体" w:hAnsi="宋体" w:cs="宋体"/>
          <w:b/>
          <w:bCs/>
          <w:kern w:val="21"/>
          <w:sz w:val="44"/>
          <w:szCs w:val="44"/>
        </w:rPr>
        <w:t>采购管理系统</w:t>
      </w:r>
      <w:bookmarkEnd w:id="0"/>
      <w:r>
        <w:rPr>
          <w:rFonts w:hint="eastAsia" w:ascii="宋体" w:hAnsi="宋体" w:cs="宋体"/>
          <w:b/>
          <w:bCs/>
          <w:kern w:val="21"/>
          <w:sz w:val="44"/>
          <w:szCs w:val="44"/>
        </w:rPr>
        <w:t>项目</w:t>
      </w:r>
    </w:p>
    <w:p>
      <w:pPr>
        <w:pStyle w:val="12"/>
      </w:pPr>
    </w:p>
    <w:p>
      <w:pPr>
        <w:pStyle w:val="12"/>
      </w:pPr>
    </w:p>
    <w:p>
      <w:pPr>
        <w:pStyle w:val="12"/>
      </w:pPr>
    </w:p>
    <w:p>
      <w:pPr>
        <w:pStyle w:val="12"/>
      </w:pPr>
    </w:p>
    <w:p>
      <w:pPr>
        <w:pStyle w:val="12"/>
      </w:pPr>
    </w:p>
    <w:p>
      <w:pPr>
        <w:pStyle w:val="12"/>
      </w:pPr>
    </w:p>
    <w:p>
      <w:pPr>
        <w:pStyle w:val="12"/>
      </w:pPr>
    </w:p>
    <w:p>
      <w:pPr>
        <w:pStyle w:val="12"/>
      </w:pPr>
    </w:p>
    <w:p>
      <w:pPr>
        <w:spacing w:line="360" w:lineRule="auto"/>
        <w:jc w:val="center"/>
        <w:outlineLvl w:val="0"/>
        <w:rPr>
          <w:rFonts w:hint="eastAsia" w:ascii="仿宋_GB2312" w:hAnsi="仿宋_GB2312" w:eastAsia="仿宋_GB2312" w:cs="仿宋_GB2312"/>
          <w:kern w:val="0"/>
          <w:sz w:val="24"/>
        </w:rPr>
      </w:pPr>
      <w:r>
        <w:rPr>
          <w:rFonts w:hint="eastAsia" w:ascii="宋体" w:hAnsi="宋体" w:cs="宋体"/>
          <w:b/>
          <w:bCs/>
          <w:kern w:val="21"/>
          <w:sz w:val="48"/>
          <w:szCs w:val="48"/>
        </w:rPr>
        <w:t>用户需求书</w:t>
      </w:r>
    </w:p>
    <w:p>
      <w:pPr>
        <w:pStyle w:val="12"/>
      </w:pPr>
    </w:p>
    <w:p>
      <w:pPr>
        <w:widowControl/>
        <w:spacing w:after="160" w:line="278" w:lineRule="auto"/>
        <w:jc w:val="left"/>
      </w:pPr>
      <w:r>
        <w:br w:type="page"/>
      </w:r>
    </w:p>
    <w:p>
      <w:pPr>
        <w:spacing w:line="360" w:lineRule="auto"/>
        <w:ind w:firstLine="420" w:firstLineChars="200"/>
        <w:rPr>
          <w:rFonts w:hint="eastAsia" w:ascii="宋体" w:hAnsi="宋体" w:cs="宋体"/>
          <w:snapToGrid w:val="0"/>
          <w:color w:val="000000"/>
          <w:kern w:val="0"/>
          <w:szCs w:val="21"/>
        </w:rPr>
      </w:pPr>
      <w:r>
        <w:rPr>
          <w:rFonts w:hint="eastAsia" w:ascii="宋体" w:hAnsi="宋体" w:cs="宋体"/>
          <w:snapToGrid w:val="0"/>
          <w:color w:val="000000"/>
          <w:kern w:val="0"/>
          <w:szCs w:val="21"/>
        </w:rPr>
        <w:t>1.1项目背景</w:t>
      </w:r>
    </w:p>
    <w:p>
      <w:pPr>
        <w:spacing w:line="360" w:lineRule="auto"/>
        <w:ind w:firstLine="420" w:firstLineChars="200"/>
        <w:rPr>
          <w:rFonts w:hint="eastAsia" w:ascii="宋体" w:hAnsi="宋体" w:cs="宋体"/>
          <w:snapToGrid w:val="0"/>
          <w:color w:val="000000"/>
          <w:kern w:val="0"/>
          <w:szCs w:val="21"/>
        </w:rPr>
      </w:pPr>
      <w:r>
        <w:rPr>
          <w:rFonts w:hint="eastAsia" w:ascii="宋体" w:hAnsi="宋体" w:cs="宋体"/>
          <w:snapToGrid w:val="0"/>
          <w:color w:val="000000"/>
          <w:kern w:val="0"/>
          <w:szCs w:val="21"/>
        </w:rPr>
        <w:t>为了进一步优化医院采购管理体系，强化内部控制，提升监督效能，确保资金高效利用，依据《中华人民共和国政府采购法》《中华人民共和国招标投标法》及相关法律法规，结合医院实际情况，决定引进电子采购平台。</w:t>
      </w:r>
    </w:p>
    <w:p>
      <w:pPr>
        <w:spacing w:line="360" w:lineRule="auto"/>
        <w:ind w:firstLine="420" w:firstLineChars="200"/>
        <w:rPr>
          <w:rFonts w:hint="eastAsia" w:ascii="宋体" w:hAnsi="宋体" w:cs="宋体"/>
          <w:snapToGrid w:val="0"/>
          <w:color w:val="000000"/>
          <w:kern w:val="0"/>
          <w:szCs w:val="21"/>
        </w:rPr>
      </w:pPr>
      <w:r>
        <w:rPr>
          <w:rFonts w:hint="eastAsia" w:ascii="宋体" w:hAnsi="宋体" w:cs="宋体"/>
          <w:snapToGrid w:val="0"/>
          <w:color w:val="000000"/>
          <w:kern w:val="0"/>
          <w:szCs w:val="21"/>
        </w:rPr>
        <w:t>1.2项目依据</w:t>
      </w:r>
    </w:p>
    <w:p>
      <w:pPr>
        <w:ind w:firstLine="420" w:firstLineChars="200"/>
      </w:pPr>
      <w:r>
        <w:t>包括但不限于《中华人民共和国政府采购法》《中华人民共和国招标投标法》以及《广州市天河区中医医院采购制度（2026 年 6 月修订版）》（文件院〔2026〕42 号）等。</w:t>
      </w:r>
    </w:p>
    <w:p>
      <w:pPr>
        <w:spacing w:line="360" w:lineRule="auto"/>
        <w:ind w:firstLine="420" w:firstLineChars="200"/>
        <w:rPr>
          <w:rFonts w:hint="eastAsia" w:ascii="宋体" w:hAnsi="宋体" w:cs="宋体"/>
          <w:snapToGrid w:val="0"/>
          <w:color w:val="000000"/>
          <w:kern w:val="0"/>
          <w:szCs w:val="21"/>
        </w:rPr>
      </w:pPr>
      <w:r>
        <w:rPr>
          <w:rFonts w:hint="eastAsia" w:ascii="宋体" w:hAnsi="宋体" w:cs="宋体"/>
          <w:snapToGrid w:val="0"/>
          <w:color w:val="000000"/>
          <w:kern w:val="0"/>
          <w:szCs w:val="21"/>
        </w:rPr>
        <w:t>1.3项目主要内容</w:t>
      </w:r>
    </w:p>
    <w:p>
      <w:pPr>
        <w:spacing w:line="360" w:lineRule="auto"/>
        <w:ind w:firstLine="416" w:firstLineChars="200"/>
        <w:rPr>
          <w:rFonts w:hint="eastAsia" w:ascii="宋体" w:hAnsi="宋体" w:cs="宋体"/>
          <w:snapToGrid w:val="0"/>
          <w:color w:val="000000"/>
          <w:spacing w:val="-1"/>
          <w:kern w:val="0"/>
          <w:szCs w:val="21"/>
        </w:rPr>
      </w:pPr>
      <w:r>
        <w:rPr>
          <w:rFonts w:hint="eastAsia" w:ascii="宋体" w:hAnsi="宋体" w:cs="宋体"/>
          <w:snapToGrid w:val="0"/>
          <w:color w:val="000000"/>
          <w:spacing w:val="-1"/>
          <w:kern w:val="0"/>
          <w:szCs w:val="21"/>
        </w:rPr>
        <w:t>运维服务：包括但不限于系统日常维护、故障处理、数据备份与恢复等，确保平台稳定运行。</w:t>
      </w:r>
    </w:p>
    <w:p>
      <w:pPr>
        <w:spacing w:line="360" w:lineRule="auto"/>
        <w:ind w:firstLine="416" w:firstLineChars="200"/>
        <w:rPr>
          <w:rFonts w:hint="eastAsia" w:ascii="宋体" w:hAnsi="宋体" w:cs="宋体"/>
          <w:snapToGrid w:val="0"/>
          <w:color w:val="000000"/>
          <w:spacing w:val="-1"/>
          <w:kern w:val="0"/>
          <w:szCs w:val="21"/>
        </w:rPr>
      </w:pPr>
      <w:r>
        <w:rPr>
          <w:rFonts w:hint="eastAsia" w:ascii="宋体" w:hAnsi="宋体" w:cs="宋体"/>
          <w:snapToGrid w:val="0"/>
          <w:color w:val="000000"/>
          <w:spacing w:val="-1"/>
          <w:kern w:val="0"/>
          <w:szCs w:val="21"/>
        </w:rPr>
        <w:t>升级服务：包括但不限于功能升级、安全升级、性能优化等，以适应医院采购业务的发展需求。</w:t>
      </w:r>
    </w:p>
    <w:p>
      <w:pPr>
        <w:spacing w:line="360" w:lineRule="auto"/>
        <w:ind w:firstLine="416" w:firstLineChars="200"/>
        <w:rPr>
          <w:rFonts w:hint="eastAsia" w:ascii="宋体" w:hAnsi="宋体" w:cs="宋体"/>
          <w:snapToGrid w:val="0"/>
          <w:color w:val="000000"/>
          <w:spacing w:val="-1"/>
          <w:kern w:val="0"/>
          <w:szCs w:val="21"/>
        </w:rPr>
      </w:pPr>
      <w:r>
        <w:rPr>
          <w:rFonts w:hint="eastAsia" w:ascii="宋体" w:hAnsi="宋体" w:cs="宋体"/>
          <w:snapToGrid w:val="0"/>
          <w:color w:val="000000"/>
          <w:spacing w:val="-1"/>
          <w:kern w:val="0"/>
          <w:szCs w:val="21"/>
        </w:rPr>
        <w:t>培训服务：包括培训内容、培训对象、培训方式等，确保全院职工能够熟练使用采购平台。</w:t>
      </w:r>
    </w:p>
    <w:p>
      <w:pPr>
        <w:spacing w:line="360" w:lineRule="auto"/>
        <w:ind w:firstLine="416" w:firstLineChars="200"/>
        <w:rPr>
          <w:rFonts w:hint="eastAsia" w:ascii="宋体" w:hAnsi="宋体" w:cs="宋体"/>
          <w:snapToGrid w:val="0"/>
          <w:color w:val="000000"/>
          <w:spacing w:val="-1"/>
          <w:kern w:val="0"/>
          <w:szCs w:val="21"/>
        </w:rPr>
      </w:pPr>
      <w:r>
        <w:rPr>
          <w:rFonts w:hint="eastAsia" w:ascii="宋体" w:hAnsi="宋体" w:cs="宋体"/>
          <w:snapToGrid w:val="0"/>
          <w:color w:val="000000"/>
          <w:spacing w:val="-1"/>
          <w:kern w:val="0"/>
          <w:szCs w:val="21"/>
        </w:rPr>
        <w:t>安全保障：包括但不限于数据加密、访问控制、安全审计等，确保采购平台的数据安全。</w:t>
      </w:r>
    </w:p>
    <w:p>
      <w:pPr>
        <w:spacing w:line="360" w:lineRule="auto"/>
        <w:ind w:firstLine="416" w:firstLineChars="200"/>
        <w:rPr>
          <w:rFonts w:hint="eastAsia" w:ascii="宋体" w:hAnsi="宋体" w:cs="宋体"/>
          <w:snapToGrid w:val="0"/>
          <w:color w:val="000000"/>
          <w:spacing w:val="-1"/>
          <w:kern w:val="0"/>
          <w:szCs w:val="21"/>
        </w:rPr>
      </w:pPr>
      <w:r>
        <w:rPr>
          <w:rFonts w:hint="eastAsia" w:ascii="宋体" w:hAnsi="宋体" w:cs="宋体"/>
          <w:snapToGrid w:val="0"/>
          <w:color w:val="000000"/>
          <w:spacing w:val="-1"/>
          <w:kern w:val="0"/>
          <w:szCs w:val="21"/>
        </w:rPr>
        <w:t>供应商管理服务：包括供应商注册、资格审核、诚信管理、通知与问题管理等，确保供应商信息的准确性和完整性。</w:t>
      </w:r>
    </w:p>
    <w:p>
      <w:pPr>
        <w:numPr>
          <w:ilvl w:val="-1"/>
          <w:numId w:val="0"/>
        </w:numPr>
        <w:spacing w:line="360" w:lineRule="auto"/>
        <w:ind w:left="0" w:leftChars="0" w:firstLine="420" w:firstLineChars="200"/>
        <w:outlineLvl w:val="9"/>
        <w:rPr>
          <w:rFonts w:hint="eastAsia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snapToGrid w:val="0"/>
          <w:color w:val="000000"/>
          <w:kern w:val="0"/>
          <w:sz w:val="21"/>
          <w:szCs w:val="21"/>
          <w:lang w:val="en-US" w:eastAsia="zh-CN"/>
        </w:rPr>
        <w:t>1.4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/>
        </w:rPr>
        <w:t>服务要求</w:t>
      </w:r>
    </w:p>
    <w:p>
      <w:pPr>
        <w:numPr>
          <w:ilvl w:val="0"/>
          <w:numId w:val="2"/>
        </w:numPr>
        <w:spacing w:line="360" w:lineRule="auto"/>
        <w:ind w:firstLineChars="0"/>
        <w:jc w:val="both"/>
        <w:rPr>
          <w:rFonts w:hint="eastAsia" w:ascii="宋体" w:hAnsi="宋体" w:eastAsia="宋体" w:cs="宋体"/>
          <w:snapToGrid w:val="0"/>
          <w:color w:val="000000"/>
          <w:kern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21"/>
          <w:szCs w:val="21"/>
        </w:rPr>
        <w:t>系统上线后需保证至少3个月的现场技术支持，待用户使用完善后，提供7*24小时远程技术支持。</w:t>
      </w:r>
    </w:p>
    <w:p>
      <w:pPr>
        <w:numPr>
          <w:ilvl w:val="0"/>
          <w:numId w:val="2"/>
        </w:numPr>
        <w:spacing w:line="360" w:lineRule="auto"/>
        <w:ind w:firstLineChars="0"/>
        <w:jc w:val="both"/>
        <w:rPr>
          <w:rFonts w:hint="eastAsia" w:ascii="宋体" w:hAnsi="宋体" w:eastAsia="宋体" w:cs="宋体"/>
          <w:snapToGrid w:val="0"/>
          <w:color w:val="000000"/>
          <w:kern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21"/>
          <w:szCs w:val="21"/>
        </w:rPr>
        <w:t>提供系统培训与上线辅导。</w:t>
      </w:r>
    </w:p>
    <w:p>
      <w:pPr>
        <w:numPr>
          <w:ilvl w:val="0"/>
          <w:numId w:val="2"/>
        </w:numPr>
        <w:spacing w:line="360" w:lineRule="auto"/>
        <w:ind w:firstLineChars="0"/>
        <w:jc w:val="both"/>
        <w:rPr>
          <w:rFonts w:hint="eastAsia" w:ascii="宋体" w:hAnsi="宋体" w:eastAsia="宋体" w:cs="宋体"/>
          <w:snapToGrid w:val="0"/>
          <w:color w:val="000000"/>
          <w:kern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21"/>
          <w:szCs w:val="21"/>
        </w:rPr>
        <w:t>提供完整技术文档与操作手册。</w:t>
      </w:r>
    </w:p>
    <w:p>
      <w:pPr>
        <w:numPr>
          <w:ilvl w:val="0"/>
          <w:numId w:val="2"/>
        </w:numPr>
        <w:spacing w:line="360" w:lineRule="auto"/>
        <w:ind w:firstLineChars="0"/>
        <w:jc w:val="both"/>
        <w:rPr>
          <w:rFonts w:hint="eastAsia" w:ascii="宋体" w:hAnsi="宋体" w:eastAsia="宋体" w:cs="宋体"/>
          <w:snapToGrid w:val="0"/>
          <w:color w:val="000000"/>
          <w:kern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21"/>
          <w:szCs w:val="21"/>
        </w:rPr>
        <w:t>系统所有对外接口须提供标准API，并终身免费开放，不得收取任何接口费用或限制调用。</w:t>
      </w:r>
    </w:p>
    <w:p>
      <w:pPr>
        <w:numPr>
          <w:ilvl w:val="0"/>
          <w:numId w:val="2"/>
        </w:numPr>
        <w:spacing w:line="360" w:lineRule="auto"/>
        <w:ind w:firstLineChars="0"/>
        <w:jc w:val="both"/>
        <w:rPr>
          <w:rFonts w:hint="eastAsia" w:ascii="宋体" w:hAnsi="宋体" w:eastAsia="宋体" w:cs="宋体"/>
          <w:snapToGrid w:val="0"/>
          <w:color w:val="000000"/>
          <w:kern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21"/>
          <w:szCs w:val="21"/>
        </w:rPr>
        <w:t>电子签章应支持与第三方合法合规平台对接，并满足法律效力要求。</w:t>
      </w:r>
    </w:p>
    <w:p>
      <w:pPr>
        <w:numPr>
          <w:ilvl w:val="0"/>
          <w:numId w:val="2"/>
        </w:numPr>
        <w:spacing w:line="360" w:lineRule="auto"/>
        <w:ind w:firstLine="420"/>
        <w:rPr>
          <w:rFonts w:hint="eastAsia" w:ascii="宋体" w:hAnsi="宋体" w:cs="宋体"/>
          <w:snapToGrid w:val="0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21"/>
          <w:szCs w:val="21"/>
        </w:rPr>
        <w:t>对于本采购需求中未明确列出的技术参数及服务要求，供应商应基于行业通用标准、最佳实践及项目实际需求，主动识别并完整覆盖相关技术要素，确保交付成果具备兼容性、扩展性和可持续性。</w:t>
      </w:r>
    </w:p>
    <w:p>
      <w:pPr>
        <w:numPr>
          <w:ilvl w:val="-1"/>
          <w:numId w:val="0"/>
        </w:numPr>
        <w:spacing w:line="360" w:lineRule="auto"/>
        <w:ind w:firstLine="420" w:firstLineChars="200"/>
        <w:outlineLvl w:val="9"/>
        <w:rPr>
          <w:rFonts w:hint="eastAsia" w:ascii="宋体" w:hAnsi="宋体" w:eastAsia="宋体" w:cs="宋体"/>
          <w:snapToGrid w:val="0"/>
          <w:color w:val="000000"/>
          <w:kern w:val="0"/>
          <w:sz w:val="21"/>
          <w:szCs w:val="21"/>
        </w:rPr>
      </w:pPr>
      <w:r>
        <w:rPr>
          <w:rFonts w:hint="eastAsia" w:ascii="宋体" w:hAnsi="宋体" w:cs="宋体"/>
          <w:snapToGrid w:val="0"/>
          <w:color w:val="000000"/>
          <w:kern w:val="0"/>
          <w:sz w:val="21"/>
          <w:szCs w:val="21"/>
          <w:lang w:val="en-US" w:eastAsia="zh-CN"/>
        </w:rPr>
        <w:t>1.5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1"/>
          <w:szCs w:val="21"/>
        </w:rPr>
        <w:t>总体技术与架构要求</w:t>
      </w:r>
    </w:p>
    <w:p>
      <w:pPr>
        <w:numPr>
          <w:ilvl w:val="0"/>
          <w:numId w:val="3"/>
        </w:numPr>
        <w:spacing w:line="360" w:lineRule="auto"/>
        <w:ind w:firstLine="420"/>
        <w:rPr>
          <w:rFonts w:hint="eastAsia" w:ascii="宋体" w:hAnsi="宋体" w:eastAsia="宋体" w:cs="宋体"/>
          <w:snapToGrid w:val="0"/>
          <w:color w:val="000000"/>
          <w:kern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21"/>
          <w:szCs w:val="21"/>
          <w:highlight w:val="none"/>
        </w:rPr>
        <w:t>架构要求</w:t>
      </w:r>
    </w:p>
    <w:p>
      <w:pPr>
        <w:spacing w:line="360" w:lineRule="auto"/>
        <w:ind w:firstLine="416" w:firstLineChars="200"/>
        <w:rPr>
          <w:rFonts w:hint="eastAsia" w:ascii="宋体" w:hAnsi="宋体" w:cs="宋体"/>
          <w:snapToGrid w:val="0"/>
          <w:color w:val="000000"/>
          <w:spacing w:val="-1"/>
          <w:kern w:val="0"/>
          <w:szCs w:val="21"/>
        </w:rPr>
      </w:pPr>
      <w:r>
        <w:rPr>
          <w:rFonts w:hint="eastAsia" w:ascii="宋体" w:hAnsi="宋体" w:cs="宋体"/>
          <w:snapToGrid w:val="0"/>
          <w:color w:val="000000"/>
          <w:spacing w:val="-1"/>
          <w:kern w:val="0"/>
          <w:szCs w:val="21"/>
        </w:rPr>
        <w:t>系统采用 B/S 架构，支持主流浏览器访问</w:t>
      </w:r>
      <w:r>
        <w:rPr>
          <w:rFonts w:hint="eastAsia" w:ascii="宋体" w:hAnsi="宋体" w:cs="宋体"/>
          <w:snapToGrid w:val="0"/>
          <w:color w:val="000000"/>
          <w:spacing w:val="-1"/>
          <w:kern w:val="0"/>
          <w:szCs w:val="21"/>
          <w:lang w:eastAsia="zh-CN"/>
        </w:rPr>
        <w:t>，无需安装客户端。</w:t>
      </w:r>
      <w:r>
        <w:rPr>
          <w:rFonts w:hint="eastAsia" w:ascii="宋体" w:hAnsi="宋体" w:cs="宋体"/>
          <w:snapToGrid w:val="0"/>
          <w:color w:val="000000"/>
          <w:spacing w:val="-1"/>
          <w:kern w:val="0"/>
          <w:szCs w:val="21"/>
        </w:rPr>
        <w:t>。</w:t>
      </w:r>
    </w:p>
    <w:p>
      <w:pPr>
        <w:spacing w:line="360" w:lineRule="auto"/>
        <w:ind w:firstLine="416" w:firstLineChars="200"/>
        <w:rPr>
          <w:rFonts w:hint="eastAsia" w:ascii="宋体" w:hAnsi="宋体" w:cs="宋体"/>
          <w:snapToGrid w:val="0"/>
          <w:color w:val="000000"/>
          <w:spacing w:val="-1"/>
          <w:kern w:val="0"/>
          <w:szCs w:val="21"/>
        </w:rPr>
      </w:pPr>
      <w:r>
        <w:rPr>
          <w:rFonts w:hint="eastAsia" w:ascii="宋体" w:hAnsi="宋体" w:cs="宋体"/>
          <w:snapToGrid w:val="0"/>
          <w:color w:val="000000"/>
          <w:spacing w:val="-1"/>
          <w:kern w:val="0"/>
          <w:szCs w:val="21"/>
        </w:rPr>
        <w:t>支持微服务架构，具备良好的扩展性和维护性。</w:t>
      </w:r>
    </w:p>
    <w:p>
      <w:pPr>
        <w:spacing w:line="360" w:lineRule="auto"/>
        <w:ind w:firstLine="416" w:firstLineChars="200"/>
        <w:rPr>
          <w:rFonts w:hint="eastAsia" w:ascii="宋体" w:hAnsi="宋体" w:cs="宋体"/>
          <w:snapToGrid w:val="0"/>
          <w:color w:val="000000"/>
          <w:spacing w:val="-1"/>
          <w:kern w:val="0"/>
          <w:szCs w:val="21"/>
        </w:rPr>
      </w:pPr>
      <w:r>
        <w:rPr>
          <w:rFonts w:hint="eastAsia" w:ascii="宋体" w:hAnsi="宋体" w:cs="宋体"/>
          <w:snapToGrid w:val="0"/>
          <w:color w:val="000000"/>
          <w:spacing w:val="-1"/>
          <w:kern w:val="0"/>
          <w:szCs w:val="21"/>
        </w:rPr>
        <w:t>支持与医院现有的 OA 系统、财务系统、运营管理系统（HRP）等进行无缝对接，实现数据互通。</w:t>
      </w:r>
    </w:p>
    <w:p>
      <w:pPr>
        <w:numPr>
          <w:ilvl w:val="0"/>
          <w:numId w:val="3"/>
        </w:numPr>
        <w:spacing w:line="360" w:lineRule="auto"/>
        <w:ind w:firstLine="420"/>
        <w:rPr>
          <w:rFonts w:hint="eastAsia" w:ascii="宋体" w:hAnsi="宋体" w:eastAsia="宋体" w:cs="宋体"/>
          <w:snapToGrid w:val="0"/>
          <w:color w:val="000000"/>
          <w:kern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21"/>
          <w:szCs w:val="21"/>
          <w:highlight w:val="none"/>
        </w:rPr>
        <w:t>信创与安全</w:t>
      </w:r>
    </w:p>
    <w:p>
      <w:pPr>
        <w:spacing w:line="360" w:lineRule="auto"/>
        <w:ind w:firstLine="416" w:firstLineChars="200"/>
        <w:rPr>
          <w:rFonts w:hint="eastAsia" w:ascii="宋体" w:hAnsi="宋体" w:cs="宋体"/>
          <w:snapToGrid w:val="0"/>
          <w:color w:val="000000"/>
          <w:spacing w:val="-1"/>
          <w:kern w:val="0"/>
          <w:szCs w:val="21"/>
        </w:rPr>
      </w:pPr>
      <w:r>
        <w:rPr>
          <w:rFonts w:hint="eastAsia" w:ascii="宋体" w:hAnsi="宋体" w:cs="宋体"/>
          <w:snapToGrid w:val="0"/>
          <w:color w:val="000000"/>
          <w:spacing w:val="-1"/>
          <w:kern w:val="0"/>
          <w:szCs w:val="21"/>
        </w:rPr>
        <w:t>支持国产信创生态适配（包括国产操作系统、数据库、中间件等）。</w:t>
      </w:r>
    </w:p>
    <w:p>
      <w:pPr>
        <w:spacing w:line="360" w:lineRule="auto"/>
        <w:ind w:firstLine="416" w:firstLineChars="200"/>
        <w:rPr>
          <w:rFonts w:hint="eastAsia" w:ascii="宋体" w:hAnsi="宋体" w:cs="宋体"/>
          <w:snapToGrid w:val="0"/>
          <w:color w:val="000000"/>
          <w:spacing w:val="-1"/>
          <w:kern w:val="0"/>
          <w:szCs w:val="21"/>
        </w:rPr>
      </w:pPr>
      <w:r>
        <w:rPr>
          <w:rFonts w:hint="eastAsia" w:ascii="宋体" w:hAnsi="宋体" w:cs="宋体"/>
          <w:snapToGrid w:val="0"/>
          <w:color w:val="000000"/>
          <w:spacing w:val="-1"/>
          <w:kern w:val="0"/>
          <w:szCs w:val="21"/>
        </w:rPr>
        <w:t>系统需具备完善的权限控制、日志审计与数据备份机制。</w:t>
      </w:r>
    </w:p>
    <w:p>
      <w:pPr>
        <w:spacing w:line="360" w:lineRule="auto"/>
        <w:ind w:firstLine="416" w:firstLineChars="200"/>
        <w:rPr>
          <w:rFonts w:hint="eastAsia" w:ascii="宋体" w:hAnsi="宋体" w:cs="宋体"/>
          <w:snapToGrid w:val="0"/>
          <w:color w:val="000000"/>
          <w:spacing w:val="-1"/>
          <w:kern w:val="0"/>
          <w:szCs w:val="21"/>
        </w:rPr>
      </w:pPr>
      <w:r>
        <w:rPr>
          <w:rFonts w:hint="eastAsia" w:ascii="宋体" w:hAnsi="宋体" w:cs="宋体"/>
          <w:snapToGrid w:val="0"/>
          <w:color w:val="000000"/>
          <w:spacing w:val="-1"/>
          <w:kern w:val="0"/>
          <w:szCs w:val="21"/>
        </w:rPr>
        <w:t>采用“内网主服务、外网前置、逻辑隔离”的混合架构，内外网之间部署网闸，实现数据单向同步及脱敏处理，保障数据安全。</w:t>
      </w:r>
    </w:p>
    <w:p>
      <w:pPr>
        <w:numPr>
          <w:ilvl w:val="0"/>
          <w:numId w:val="3"/>
        </w:numPr>
        <w:spacing w:line="360" w:lineRule="auto"/>
        <w:ind w:firstLine="420"/>
        <w:rPr>
          <w:rFonts w:hint="eastAsia" w:ascii="宋体" w:hAnsi="宋体" w:eastAsia="宋体" w:cs="宋体"/>
          <w:snapToGrid w:val="0"/>
          <w:color w:val="000000"/>
          <w:kern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21"/>
          <w:szCs w:val="21"/>
          <w:highlight w:val="none"/>
        </w:rPr>
        <w:t>移动端支持</w:t>
      </w:r>
    </w:p>
    <w:p>
      <w:pPr>
        <w:spacing w:line="360" w:lineRule="auto"/>
        <w:ind w:firstLine="416" w:firstLineChars="200"/>
        <w:rPr>
          <w:rFonts w:hint="eastAsia" w:ascii="宋体" w:hAnsi="宋体" w:cs="宋体"/>
          <w:snapToGrid w:val="0"/>
          <w:color w:val="000000"/>
          <w:spacing w:val="-1"/>
          <w:kern w:val="0"/>
          <w:szCs w:val="21"/>
        </w:rPr>
      </w:pPr>
      <w:r>
        <w:rPr>
          <w:rFonts w:hint="eastAsia" w:ascii="宋体" w:hAnsi="宋体" w:cs="宋体"/>
          <w:snapToGrid w:val="0"/>
          <w:color w:val="000000"/>
          <w:spacing w:val="-1"/>
          <w:kern w:val="0"/>
          <w:szCs w:val="21"/>
        </w:rPr>
        <w:t>支持移动端（手机、平板）进行审批、查询和待办事项处理。</w:t>
      </w:r>
    </w:p>
    <w:p>
      <w:pPr>
        <w:numPr>
          <w:ilvl w:val="0"/>
          <w:numId w:val="3"/>
        </w:numPr>
        <w:spacing w:line="360" w:lineRule="auto"/>
        <w:ind w:firstLine="420"/>
        <w:rPr>
          <w:rFonts w:hint="eastAsia" w:ascii="宋体" w:hAnsi="宋体" w:eastAsia="宋体" w:cs="宋体"/>
          <w:snapToGrid w:val="0"/>
          <w:color w:val="000000"/>
          <w:kern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21"/>
          <w:szCs w:val="21"/>
        </w:rPr>
        <w:t>电子签章</w:t>
      </w:r>
    </w:p>
    <w:p>
      <w:pPr>
        <w:spacing w:line="360" w:lineRule="auto"/>
        <w:ind w:firstLine="416" w:firstLineChars="200"/>
        <w:rPr>
          <w:rFonts w:hint="eastAsia" w:ascii="宋体" w:hAnsi="宋体" w:cs="宋体"/>
          <w:snapToGrid w:val="0"/>
          <w:color w:val="000000"/>
          <w:spacing w:val="-1"/>
          <w:kern w:val="0"/>
          <w:szCs w:val="21"/>
        </w:rPr>
      </w:pPr>
      <w:r>
        <w:rPr>
          <w:rFonts w:hint="eastAsia" w:ascii="宋体" w:hAnsi="宋体" w:cs="宋体"/>
          <w:snapToGrid w:val="0"/>
          <w:color w:val="000000"/>
          <w:spacing w:val="-1"/>
          <w:kern w:val="0"/>
          <w:szCs w:val="21"/>
        </w:rPr>
        <w:t>系统需内嵌或对接第三方合法合规的电子签章平台，支持采购文件、中标通知书、合同等全过程线上签署，具备法律效力。</w:t>
      </w:r>
    </w:p>
    <w:p>
      <w:pPr>
        <w:numPr>
          <w:ilvl w:val="-1"/>
          <w:numId w:val="0"/>
        </w:numPr>
        <w:spacing w:line="360" w:lineRule="auto"/>
        <w:ind w:firstLine="420" w:firstLineChars="200"/>
        <w:outlineLvl w:val="9"/>
        <w:rPr>
          <w:rFonts w:hint="eastAsia" w:ascii="宋体" w:hAnsi="宋体" w:cs="宋体"/>
          <w:snapToGrid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snapToGrid w:val="0"/>
          <w:color w:val="000000"/>
          <w:kern w:val="0"/>
          <w:sz w:val="21"/>
          <w:szCs w:val="21"/>
          <w:lang w:val="en-US" w:eastAsia="zh-CN"/>
        </w:rPr>
        <w:t>1.6 商务需求</w:t>
      </w:r>
    </w:p>
    <w:p>
      <w:pPr>
        <w:spacing w:line="360" w:lineRule="auto"/>
        <w:ind w:firstLine="416" w:firstLineChars="200"/>
        <w:rPr>
          <w:rFonts w:hint="eastAsia" w:ascii="宋体" w:hAnsi="宋体" w:cs="宋体"/>
          <w:snapToGrid w:val="0"/>
          <w:color w:val="000000"/>
          <w:spacing w:val="-1"/>
          <w:kern w:val="0"/>
          <w:szCs w:val="21"/>
        </w:rPr>
      </w:pPr>
      <w:r>
        <w:rPr>
          <w:rFonts w:hint="eastAsia" w:ascii="宋体" w:hAnsi="宋体" w:cs="宋体"/>
          <w:snapToGrid w:val="0"/>
          <w:color w:val="000000"/>
          <w:spacing w:val="-1"/>
          <w:kern w:val="0"/>
          <w:szCs w:val="21"/>
          <w:lang w:val="en-US" w:eastAsia="zh-CN"/>
        </w:rPr>
        <w:t>采购范围：建设覆盖医院采购业务全生命周期的采购管理系统，实现：采购预算→采购准备→计划申报→立项→实施→合同履约→绩效评价全过程线上管理，实现采购业务全流程电子化、无纸化流转，系统内完成所有业务填报、审批、留痕与归档。</w:t>
      </w:r>
    </w:p>
    <w:p>
      <w:pPr>
        <w:spacing w:line="360" w:lineRule="auto"/>
        <w:ind w:firstLine="416" w:firstLineChars="200"/>
        <w:rPr>
          <w:rFonts w:hint="eastAsia" w:ascii="宋体" w:hAnsi="宋体" w:cs="宋体"/>
          <w:snapToGrid w:val="0"/>
          <w:color w:val="000000"/>
          <w:spacing w:val="-1"/>
          <w:kern w:val="0"/>
          <w:szCs w:val="21"/>
        </w:rPr>
      </w:pPr>
      <w:r>
        <w:rPr>
          <w:rFonts w:hint="eastAsia" w:ascii="宋体" w:hAnsi="宋体" w:cs="宋体"/>
          <w:snapToGrid w:val="0"/>
          <w:color w:val="000000"/>
          <w:spacing w:val="-1"/>
          <w:kern w:val="0"/>
          <w:szCs w:val="21"/>
          <w:lang w:val="en-US" w:eastAsia="zh-CN"/>
        </w:rPr>
        <w:t>服务期限：</w:t>
      </w:r>
      <w:r>
        <w:rPr>
          <w:rFonts w:hint="eastAsia" w:ascii="宋体" w:hAnsi="宋体" w:cs="宋体"/>
          <w:snapToGrid w:val="0"/>
          <w:color w:val="000000"/>
          <w:spacing w:val="-1"/>
          <w:kern w:val="0"/>
          <w:szCs w:val="21"/>
        </w:rPr>
        <w:t>签订合同后3个月内按照</w:t>
      </w:r>
      <w:r>
        <w:rPr>
          <w:rFonts w:hint="eastAsia" w:ascii="宋体" w:hAnsi="宋体" w:cs="宋体"/>
          <w:snapToGrid w:val="0"/>
          <w:color w:val="000000"/>
          <w:spacing w:val="-1"/>
          <w:kern w:val="0"/>
          <w:szCs w:val="21"/>
          <w:lang w:eastAsia="zh-CN"/>
        </w:rPr>
        <w:t>比选</w:t>
      </w:r>
      <w:r>
        <w:rPr>
          <w:rFonts w:hint="eastAsia" w:ascii="宋体" w:hAnsi="宋体" w:cs="宋体"/>
          <w:snapToGrid w:val="0"/>
          <w:color w:val="000000"/>
          <w:spacing w:val="-1"/>
          <w:kern w:val="0"/>
          <w:szCs w:val="21"/>
        </w:rPr>
        <w:t>人</w:t>
      </w:r>
      <w:r>
        <w:rPr>
          <w:rFonts w:hint="eastAsia" w:ascii="宋体" w:hAnsi="宋体" w:cs="宋体"/>
          <w:snapToGrid w:val="0"/>
          <w:color w:val="000000"/>
          <w:spacing w:val="-1"/>
          <w:kern w:val="0"/>
          <w:szCs w:val="21"/>
          <w:lang w:eastAsia="zh-CN"/>
        </w:rPr>
        <w:t>采购</w:t>
      </w:r>
      <w:r>
        <w:rPr>
          <w:rFonts w:hint="eastAsia" w:ascii="宋体" w:hAnsi="宋体" w:cs="宋体"/>
          <w:snapToGrid w:val="0"/>
          <w:color w:val="000000"/>
          <w:spacing w:val="-1"/>
          <w:kern w:val="0"/>
          <w:szCs w:val="21"/>
        </w:rPr>
        <w:t>管理要求完成</w:t>
      </w:r>
      <w:r>
        <w:rPr>
          <w:rFonts w:hint="eastAsia" w:ascii="宋体" w:hAnsi="宋体" w:cs="宋体"/>
          <w:snapToGrid w:val="0"/>
          <w:color w:val="000000"/>
          <w:spacing w:val="-1"/>
          <w:kern w:val="0"/>
          <w:szCs w:val="21"/>
          <w:lang w:eastAsia="zh-CN"/>
        </w:rPr>
        <w:t>采购</w:t>
      </w:r>
      <w:r>
        <w:rPr>
          <w:rFonts w:hint="eastAsia" w:ascii="宋体" w:hAnsi="宋体" w:cs="宋体"/>
          <w:snapToGrid w:val="0"/>
          <w:color w:val="000000"/>
          <w:spacing w:val="-1"/>
          <w:kern w:val="0"/>
          <w:szCs w:val="21"/>
        </w:rPr>
        <w:t>平台及配套接口服务的开发、测试并上线试运行，签订合同后第4个月正式上线运行。</w:t>
      </w:r>
      <w:bookmarkStart w:id="1" w:name="_GoBack"/>
      <w:bookmarkEnd w:id="1"/>
    </w:p>
    <w:p>
      <w:pPr>
        <w:spacing w:line="360" w:lineRule="auto"/>
        <w:ind w:firstLine="416" w:firstLineChars="200"/>
        <w:rPr>
          <w:rFonts w:hint="eastAsia" w:ascii="宋体" w:hAnsi="宋体" w:cs="宋体"/>
          <w:snapToGrid w:val="0"/>
          <w:color w:val="000000"/>
          <w:spacing w:val="-1"/>
          <w:kern w:val="0"/>
          <w:szCs w:val="21"/>
          <w:lang w:val="en-US" w:eastAsia="zh-CN"/>
        </w:rPr>
      </w:pPr>
      <w:r>
        <w:rPr>
          <w:rFonts w:hint="eastAsia" w:ascii="宋体" w:hAnsi="宋体" w:cs="宋体"/>
          <w:snapToGrid w:val="0"/>
          <w:color w:val="000000"/>
          <w:spacing w:val="-1"/>
          <w:kern w:val="0"/>
          <w:szCs w:val="21"/>
          <w:lang w:val="en-US" w:eastAsia="zh-CN"/>
        </w:rPr>
        <w:t>服务地点：采购人指定地点，本地部署。</w:t>
      </w:r>
    </w:p>
    <w:p>
      <w:pPr>
        <w:spacing w:line="360" w:lineRule="auto"/>
        <w:ind w:firstLine="416" w:firstLineChars="200"/>
        <w:rPr>
          <w:rFonts w:hint="eastAsia" w:ascii="宋体" w:hAnsi="宋体" w:cs="宋体"/>
          <w:snapToGrid w:val="0"/>
          <w:color w:val="000000"/>
          <w:spacing w:val="-1"/>
          <w:kern w:val="0"/>
          <w:szCs w:val="21"/>
        </w:rPr>
      </w:pPr>
      <w:r>
        <w:rPr>
          <w:rFonts w:hint="eastAsia" w:ascii="宋体" w:hAnsi="宋体" w:cs="宋体"/>
          <w:snapToGrid w:val="0"/>
          <w:color w:val="000000"/>
          <w:spacing w:val="-1"/>
          <w:kern w:val="0"/>
          <w:szCs w:val="21"/>
          <w:lang w:val="en-US" w:eastAsia="zh-CN"/>
        </w:rPr>
        <w:t>付款方式：系统部署完成并验收合格支付合同金额的100%。</w:t>
      </w:r>
    </w:p>
    <w:p>
      <w:pPr>
        <w:pStyle w:val="12"/>
      </w:pPr>
    </w:p>
    <w:p>
      <w:pPr>
        <w:pStyle w:val="12"/>
      </w:pPr>
      <w:r>
        <w:rPr>
          <w:rFonts w:hint="eastAsia"/>
        </w:rPr>
        <w:t>1.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 xml:space="preserve"> </w:t>
      </w:r>
      <w:r>
        <w:rPr>
          <w:rFonts w:hint="eastAsia"/>
          <w:strike w:val="0"/>
          <w:dstrike w:val="0"/>
        </w:rPr>
        <w:t>功能</w:t>
      </w:r>
      <w:r>
        <w:rPr>
          <w:rFonts w:hint="eastAsia"/>
        </w:rPr>
        <w:t>需求</w:t>
      </w:r>
    </w:p>
    <w:tbl>
      <w:tblPr>
        <w:tblStyle w:val="18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82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66" w:type="pct"/>
            <w:shd w:val="clear" w:color="auto" w:fill="auto"/>
            <w:vAlign w:val="center"/>
          </w:tcPr>
          <w:p>
            <w:pPr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lang w:val="en-US" w:eastAsia="zh-CN"/>
              </w:rPr>
              <w:t>功能需求</w:t>
            </w:r>
          </w:p>
        </w:tc>
        <w:tc>
          <w:tcPr>
            <w:tcW w:w="4133" w:type="pct"/>
            <w:shd w:val="clear" w:color="auto" w:fill="auto"/>
            <w:vAlign w:val="center"/>
          </w:tcPr>
          <w:p>
            <w:pPr>
              <w:rPr>
                <w:rFonts w:hint="eastAsia"/>
                <w:b/>
                <w:bCs/>
                <w:color w:val="auto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lang w:val="en-US" w:eastAsia="zh-CN"/>
              </w:rPr>
              <w:t>功能需求说明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66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门户网站的建立</w:t>
            </w:r>
          </w:p>
        </w:tc>
        <w:tc>
          <w:tcPr>
            <w:tcW w:w="4133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包括但不限于全院采购信息、意向公开、供应商通知、资料下载等。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支持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填写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政府采购意向公开信息。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66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院内比价</w:t>
            </w:r>
          </w:p>
        </w:tc>
        <w:tc>
          <w:tcPr>
            <w:tcW w:w="4133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归口科室经办人在线发起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比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价，填写采购需求、预算金额，系统自动校验金额是否在10万元以内；</w:t>
            </w:r>
          </w:p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支持邀请至少3家供应商参与报价，可从供应商库定向选择，也可面向已入驻供应商公开询价；</w:t>
            </w:r>
          </w:p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供应商在线提交报价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资质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及简要响应材料，免去多轮评审环节；</w:t>
            </w:r>
          </w:p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系统按最低价（或经办人设定规则）自动生成比价结果，形成《比价结果单》；</w:t>
            </w:r>
          </w:p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比价过程、报价记录、确认结果全程留痕，支持一键导出归档。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66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采购需求调研</w:t>
            </w:r>
          </w:p>
        </w:tc>
        <w:tc>
          <w:tcPr>
            <w:tcW w:w="4133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通过平台公开发布公告，供应商按要求在平台填写调研内容、上传调研资料；调研结束后，一键下载所有调研内容及资料。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采购需求调研仅作为前期市场调研使用，调研结果不能替代正式项目立项论证，项目仍需按照院内制度完成立项、预算、可行性论证流程。</w:t>
            </w:r>
          </w:p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支持深度调研模式：可自定义调研问卷模板，可针对货物、工程、服务类分别设置调研字段；支持调研结果在线汇总、统计、导出 Excel/PDF。调研数据可一键引用至申购单采购需求编制环节。</w:t>
            </w:r>
          </w:p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针对医疗设备类采购项目，系统启用参数多方比对功能；</w:t>
            </w:r>
          </w:p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每家供应商在线响应时，需提交并填报本公司产品对应的技术参数及佐证材料（产品彩页、技术手册、官方公开技术参数文档等附件）；</w:t>
            </w:r>
          </w:p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系统自动汇总各参与供应商提交的参数数据，按技术参数逐条生成多方对比视图，将不同供应商就同一参数项提交的数值及佐证材料并列展示；</w:t>
            </w:r>
          </w:p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系统校验：若某条技术参数实际提交佐证材料的供应商不足 3 家，自动标识提示，便于经办人/审查人员关注竞争充分性；</w:t>
            </w:r>
          </w:p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审查人员可在线逐条查看每项参数下各供应商提交的佐证附件，比对差异；</w:t>
            </w:r>
          </w:p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支持一键导出《设备参数三方比对表》，作为采购归档文件。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66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资格性审查</w:t>
            </w:r>
          </w:p>
        </w:tc>
        <w:tc>
          <w:tcPr>
            <w:tcW w:w="4133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需支持在招标 / 竞价发起前由经办人配置公司、人员等资质硬性门槛，资格审核状态可按待审核、待补充材料、已审核合格流转，不合格供应商可一键退回并注明补料理由；可灵活选择 “先审资质，合格后方可报价” 或 “资质与报价同步提交、评标前统一审核” 两种模式，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设有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 xml:space="preserve"> AI 资格初审自动校验材料完整性、证书有效性等内容辅助人工复核，审核人、审核意见、审核时间全程留痕可追溯，满足采购合规审计要求。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66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创建申购单</w:t>
            </w:r>
          </w:p>
        </w:tc>
        <w:tc>
          <w:tcPr>
            <w:tcW w:w="4133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1) 手动单：用户端应具备创建货物、服务、工程采购申购单；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2) 推送单：支持从比选人采购管理系统推送已审批通过的采购单。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3）系统根据项目预算、品目自动识别采购类型：政府采购（院外集中 / 分散采购）、院内集中采购、院内分散采购，并匹配对应业务流转路径；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4）单个医疗设备预算金额≥50 万元时，系统强制要求上传《可行性分析报告》后方可提交申购单；工程项目预算≥100 万元，系统强制要求上传工程项目建议书后方可提交申购单；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5）推送单接收校验：外部系统推送已审批采购单时，必须同步推送立项审批材料、预算论证相关附件，无立项论证材料的单据系统不予接收，防止绕过院内立项论证流程。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申购提交界面增加提示：严禁科室未经审批私自采购，所有采购业务应通过本平台完成申购立项流程。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66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申购单编辑</w:t>
            </w:r>
          </w:p>
        </w:tc>
        <w:tc>
          <w:tcPr>
            <w:tcW w:w="4133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1）如为手动单，当医院采购主管部门经办人选择退回用户修改，用户可点击 “编辑” 进入编辑界面；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2）如为推送单，当医院采购主管部门经办人选择退回用户修改，系统可推送回医院采购管理系统重新编制申购单。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66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用户初选</w:t>
            </w:r>
          </w:p>
        </w:tc>
        <w:tc>
          <w:tcPr>
            <w:tcW w:w="4133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1）报价时间截止后，医院采购主管部门经办人将项目流转用户初选。用户点击 “操作” 进行初选；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2）在 “初选” 界面，用户需先阅读 “采购项目利害关系声明”，选择 “无需回避” 或 “需要回避”；如需回避应选 “转其他用户初选”；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3）用户点击 “审核” 按钮，对供应商的报价方案逐个初步审核；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4）初步审核完毕后，填写 “初选评价” 并 “保存”；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5）如选择综合评分排名第一的供应商，用户可勾选默认初选理由；如选择排名第一以外的供应商，手动填写 “用户初选理由”；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6）填写完 “用户初选理由” 后，用户可选择 “转其他用户初选” 或 “提交一审”，“转其他用户初选” 可输入用户 ID 进行搜索选取；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7）显示 “操作成功” 项目流转至一审。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8）利害关系回避机制覆盖全部参与采购业务人员，除使用科室用户外，采购经办人、评审专家进入项目操作 / 评审界面前，均必须完成利害关系声明，选择 “无需回避” 或 “申请回避”；申请回避的，项目流转更换对应操作人员 / 专家；系统支持标记专家‑供应商利害关系，专家抽取时可手动排除利害关系专家。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66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用户确认成交结果</w:t>
            </w:r>
          </w:p>
        </w:tc>
        <w:tc>
          <w:tcPr>
            <w:tcW w:w="4133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项目完成评审后，用户对采购结果做 CA 签名确认。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66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我的快采项目</w:t>
            </w:r>
          </w:p>
        </w:tc>
        <w:tc>
          <w:tcPr>
            <w:tcW w:w="4133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可查看、打印、导出本用户账号经办的所有采购项目。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66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我的基本信息</w:t>
            </w:r>
          </w:p>
        </w:tc>
        <w:tc>
          <w:tcPr>
            <w:tcW w:w="4133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可查看本用户账号基本信息包括用户 ID、姓名、用户单位、手机电话、办公电话、登录密码等。账号基本信息从比选人数据共享平台自动获取并自动定期更新。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66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经办人端要求</w:t>
            </w:r>
          </w:p>
        </w:tc>
        <w:tc>
          <w:tcPr>
            <w:tcW w:w="4133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医院采购主管部门经办人执行发布管理、审核供应商报价方案、组织谈判、生成评审文件等功能：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66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发布管理</w:t>
            </w:r>
          </w:p>
        </w:tc>
        <w:tc>
          <w:tcPr>
            <w:tcW w:w="4133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1) 操作 1：发布采购公告，当审核的申购单符合采购申购规范时，可设置截止时间、报价备注等公告信息，然后发布采购公告；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2) 操作 2：退回修改，当审核时发现用户在填写申购单时有错误，可退回用户修改申购单后重新提交审核。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3）院内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比选/询价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采购项目发布公告，系统强制公告期不少于 5 个工作日，设置时长不足 5 个工作日时系统禁止发布；政府采购类项目遵循政府采购平台规则。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66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初选管理</w:t>
            </w:r>
          </w:p>
        </w:tc>
        <w:tc>
          <w:tcPr>
            <w:tcW w:w="4133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1) 操作 1：发布延期公告：当报名时间截止后供应商数量不符合要求，可发布延期公告；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2）操作 2：供应商资格审查：投标供应商符合初选要求时，对供应商提交的资格材料进行初审，如初审通过的供应商数量不符合初选要求，可发布延期公告；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3）操作 3：转用户初选：项目通过资格审查后，输入操作意见后点击此按钮将转用户初选；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4）操作 4：取消报价：当申购单在延长报价后仍无供应商响应，或者此申购单有问题时可选择二审取消报价。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5）资格初审完成后，有效合格供应商不足 3 家，系统弹出提示，应执行重新发布 / 延期公告，不允许直接进入下一评审环节。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66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一审管理</w:t>
            </w:r>
          </w:p>
        </w:tc>
        <w:tc>
          <w:tcPr>
            <w:tcW w:w="4133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1) 退回用户初选：可将申购单退回到用户初选；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2) 提交二审：按照评审规则，一审经办人可将申购单提交二审；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3) 转专家评审；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4) 转现场谈判或 CA 谈判。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5）中止采购、取消采购结果操作：经办人可发起中止或取消采购结果，系统提供下拉选择原因（采购任务取消、发现违法违纪、供应商违规、全部报价超预算、采购需求不完善），要求填写操作意见，操作全程留痕日志；中止项目可退回使用科室完善采购需求后重新发起采购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66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CA 谈判</w:t>
            </w:r>
          </w:p>
        </w:tc>
        <w:tc>
          <w:tcPr>
            <w:tcW w:w="4133" w:type="pct"/>
            <w:shd w:val="clear" w:color="auto" w:fill="auto"/>
            <w:vAlign w:val="top"/>
          </w:tcPr>
          <w:p>
            <w:pPr>
              <w:numPr>
                <w:ilvl w:val="0"/>
                <w:numId w:val="4"/>
              </w:num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发送现场谈判通知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系统可发送短信、邮件通知供应商来到现场谈判。</w:t>
            </w:r>
          </w:p>
          <w:p>
            <w:pPr>
              <w:numPr>
                <w:ilvl w:val="0"/>
                <w:numId w:val="4"/>
              </w:num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提交 CA 谈判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1）进入界面后，点击 “CA 谈判” 开始转专家评审；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2）选择 “专家评审截止时间” 后，点击 “请选择” 选择评审专家。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输入专家姓名后点击 “搜索” 可查找专家，然后进行选择，选择完毕后点击 “导入” 将选择的专家导入带回页面；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3）选择一位专家组长，点击 “确定” 提交 CA 谈判。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退回专家审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1）如在专家评审完毕后，需要退回给专家重新审核，请点击 “一审管理”，进入该项目后，点击按钮可回专家审；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2）进入退回评审界面后，可以选择某位专家单独退回，也可以统一将三位专家的评审一起退回；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3）退回评审后，专家点击 “待评审” 按钮进入评审界面，原评审会保留，如需修改，请点击 “修改评审”，修改完毕后点击 “提交评审” 即可。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4.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其他专家审核管理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延长专家审核时间：当申购单在提交专家审时，有专家在截止评审后还没有评审则可以延长评审时间；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替换未评审专家：当申购单在专家截止评审后未评审，此时可以更换评审专家。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5.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谈判完成后系统必须生成标准化《谈判纪要》表单，记录全部谈判内容、采购文件实质性变更内容及影响，作为归档强制文件，需评审专家组长及参与专家完成电子签名。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66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生成签署文件</w:t>
            </w:r>
          </w:p>
        </w:tc>
        <w:tc>
          <w:tcPr>
            <w:tcW w:w="4133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1）点击 “经办人电子签名”，编辑及核对信息，核对无误后点击 “生成签署文件”；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2）生成签署文件后，用户及专家可进行电子签名。经办人在此界面可核对是否已完成签名及盖章。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66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发布成交结果</w:t>
            </w:r>
          </w:p>
        </w:tc>
        <w:tc>
          <w:tcPr>
            <w:tcW w:w="4133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1）点击 “一审管理”，找到该项目，点击 “预览成交公告”；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2）经办人编辑及核对信息，核对无误后点击 “生成文件”；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3）生成文件后，如需重新编辑，点击 “删除文件” 后重新生成编辑；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4）确认无误后填写好 “操作意见”，点击 “发布” 即可；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5）经办人可在 “经办人电子签名” 处，点击 “操作” 进入签署界面。该界面可进行下载、盖章等操作，发布成交公告。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66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二审管理</w:t>
            </w:r>
          </w:p>
        </w:tc>
        <w:tc>
          <w:tcPr>
            <w:tcW w:w="4133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二审管理员填写审核意见，退回一审或提交三审。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66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三审管理</w:t>
            </w:r>
          </w:p>
        </w:tc>
        <w:tc>
          <w:tcPr>
            <w:tcW w:w="4133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三审管理员填写审核意见，退回一审。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66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单一来源公示</w:t>
            </w:r>
          </w:p>
        </w:tc>
        <w:tc>
          <w:tcPr>
            <w:tcW w:w="4133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单一来源公示通常是指在政府采购或公共采购过程中，当采购单位认为只能从唯一供应商处获得所需产品或服务时，按照相关法律法规的规定，进行的一种公示行为。这种采购方式一般需要符合特定的条件，并且要经过严格的审批流程，以确保采购活动的公平性和合理性。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单一来源公示发起前必须完成院内流程，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否则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经办人不能发起单一来源公示。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66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质疑处理</w:t>
            </w:r>
          </w:p>
        </w:tc>
        <w:tc>
          <w:tcPr>
            <w:tcW w:w="4133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经办人可对供应商提交的质疑进行回复。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66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采购项目查询统计</w:t>
            </w:r>
          </w:p>
        </w:tc>
        <w:tc>
          <w:tcPr>
            <w:tcW w:w="4133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1）通过采购项目查询可以查询各种状态的单据。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2）查询条件包括项目名称、项目编号、申购主题、经办人、申购单位、申购人、年度、开始时间、截止时间、执行状态、成交供应商、投标供应商、评审专家、评审方式等；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3）查询支持多页查询、多条件查询及模糊查询，并支持自定义字段的导出。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4）具有统计汇总功能。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5）具有数据可视化功能，并可设定为首页，显示数据驾驶舱界面。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6）系统具备完整不可删除的操作审计日志，记录所有用户关键操作：退回单据、延期公告、取消报价、替换专家、修改截止时间、中止 / 取消采购等；记录操作账号、操作时间、操作前后关键内容；支持审计、纪检岗位专用视图查看全流程日志。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66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评审端要求</w:t>
            </w:r>
          </w:p>
        </w:tc>
        <w:tc>
          <w:tcPr>
            <w:tcW w:w="4133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支持三种评审方式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采购项目评审方法分别为：院内比选（综合评分）、院内询价、CA 竞争性谈判、专家评审；其中自动评审可用于院内询价模式。院内询价模式逻辑：邀请不少于 3 家合格供应商，完成符合性审查后，按 “满足采购需求、质量服务相等且报价最低” 确定成交供应商，系统生成《询价采购记录》，支持询价小组电子签名；询价记录需记录询价渠道（电商平台、商场、邮件、电话等）。对于无须谈判项目，直接进入待评审环节；对于谈判项目，则先进行 CA 谈判然后再进入待评审环节；两种项目的待评审及评审界面可以一致。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 xml:space="preserve"> CA 谈判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1）查看后可整理出对供应商的提问问题，并与供应商进行现场 / 腾讯会议谈判。待与该项目所有供应商谈判完毕后，评审专家组长界面点击 “CA 谈判”，并进入操作界面。CA 谈判环节由评审专家组长进行操作。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2) 设置截止时间：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专家组长设置截止时间（系统默认截止时间是进入项目界面半小时后），输入谈判地点及录入谈判内容。如有多项谈判内容，请点击 “添加一行”。将所有内容都补充完整后，点击 “提交谈判”；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3）谈判截止时间结束后 / 所有谈判供应商均已完成报价后，专家可点击 “点击查看” 查看供应商的谈判 B 表内容，再根据谈判情况可选择 “再次谈判”/“转专家评审”；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4）如需再次谈判，请点击 “再次谈判”，重复以上操作转给供应商补充报价。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66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专家评审</w:t>
            </w:r>
          </w:p>
        </w:tc>
        <w:tc>
          <w:tcPr>
            <w:tcW w:w="4133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1）如无需再次谈判，点击 “转专家评审”，流转到各位专家的 “待评审” 处，点击 “待评审”-“操作”-“开始评审” 进入评审界面；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2）专家需逐项进行评审，评审完毕后，点击 “提交评审” 即可；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3）评审界面应对比供应商响应与对应需求项的内容差异，并以黄色高亮显示。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66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专家电子签名</w:t>
            </w:r>
          </w:p>
        </w:tc>
        <w:tc>
          <w:tcPr>
            <w:tcW w:w="4133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1）待经办人生成签署文件后，点击 “专家电子签名”，找到该项目，点击操作按钮进入签署文件界面。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2）点击界面右上角 “签名” 按钮，输入 PIN 码（云签署密码）进行签名。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3）成功签名后状态会显示 “已签名”，如失败应显示错误提示信息。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66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我的评审项目</w:t>
            </w:r>
          </w:p>
        </w:tc>
        <w:tc>
          <w:tcPr>
            <w:tcW w:w="4133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1）在我的评审项目中找到该项目，点击进去查看项目详情。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2）可点击供应商排名序号逐家查看响应内容及上传资料。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66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院内采购评审专家库管理</w:t>
            </w:r>
          </w:p>
        </w:tc>
        <w:tc>
          <w:tcPr>
            <w:tcW w:w="4133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实现院内评审专家库维护管理，支持专家新增、编辑、停用、标签分类、利害关系标记；支持按项目预算金额控制抽取专家人数：普通项目专家人数为 3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—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5 人单数；项目预算≥500 万元，系统强制专家人数为 7 人，不满足人数不能启动评审。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66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政府采购意向公开管理</w:t>
            </w:r>
          </w:p>
        </w:tc>
        <w:tc>
          <w:tcPr>
            <w:tcW w:w="4133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支持政府采购意向信息录入、编辑、在平台门户网站对外发布，意向公开记录留存归档。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66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院外集中采购项目台账管理</w:t>
            </w:r>
          </w:p>
        </w:tc>
        <w:tc>
          <w:tcPr>
            <w:tcW w:w="4133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针对委托外部采购代理机构实施的政府采购项目做台账登记；记录委托代理机构信息、院外采购文件多部门审签留痕记录、医院采购人代表选派信息，相关附件上传归档；本模块仅做登记留痕，不替代外部政府采购平台业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66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验收材料归集及项目档案袋管理</w:t>
            </w:r>
          </w:p>
        </w:tc>
        <w:tc>
          <w:tcPr>
            <w:tcW w:w="4133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每个采购项目形成独立电子档案袋，归集全流程文件：申购材料、采购公告、供应商报名材料、评审文件、谈判 / 询价纪要、成交公告、成交通知书；支持归口管理部门上传验收报告、整改通知单、供应商整改证明等验收全套资料；档案归档标记完成后核心文件禁止修改；支持按权限进行档案查阅、导出。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66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付款申请材料归集辅助</w:t>
            </w:r>
          </w:p>
        </w:tc>
        <w:tc>
          <w:tcPr>
            <w:tcW w:w="4133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项目完成验收后，支持归口部门线上归集付款申请配套材料（验收报告、发票扫描件、合同复印件、会议纪要、政府采购合同备案表、入库单、分期付款申请表等），形成付款材料数据包，支持导出用于提交财务科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66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供应商端要求</w:t>
            </w:r>
          </w:p>
        </w:tc>
        <w:tc>
          <w:tcPr>
            <w:tcW w:w="4133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 xml:space="preserve">待注册或报价 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进入系统查看要待报价的采购单，如果是 CA 项目，则该项目响应材料需 CA 盖章。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我要报价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供应商可选择待报价的采购单进行报名；没注册的供应商应可跳转注册界面；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填写报名信息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填写正确的手机号、邮箱、纳税人识别号等信息，点击确认报名。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4.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填写报价信息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打开报价页面进行报价，填写资质、商务、技术响应，上传相应的附件说明。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5.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上传明细报价表及配置清单表（仅货物项目）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1）响应材料填写完成之后，点击 “提交”。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2）确认信息无误后，下载响应方案（生成 PDF），使用 GDCA 盖章并自动校验保证文件一致性，或在线生成盖章文件，提交。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6.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参加 CA 谈判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供应商根据专家发出的谈判表，在线二次响应，下载二次响应文件（生成 PDF），使用 GDCA 盖章并自动校验保证文件一致性，或在线生成盖章文件，提交。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7.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成交通知书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1）项目发布成交公告后，平台通过短信或邮件通知成交供应商；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2）成交供应商可在平台在线下载成交通知书，平台应记录领取状态。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8.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我的基本信息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供应商可编辑修改基本信息，但需经过平台审核后生效。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66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供应商管理要求</w:t>
            </w:r>
          </w:p>
        </w:tc>
        <w:tc>
          <w:tcPr>
            <w:tcW w:w="4133" w:type="pct"/>
            <w:shd w:val="clear" w:color="auto" w:fill="auto"/>
            <w:vAlign w:val="top"/>
          </w:tcPr>
          <w:p>
            <w:pPr>
              <w:spacing w:before="120" w:after="120" w:line="288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1）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供应商注册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供应商注册及审核功能，并按照比选人采购管理要求对供应商注册和资格信息进行审核管理。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2）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供应商诚信管理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供应商黑名单等管理等，包括类型、起止日期等；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3）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供应商通知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提供供应商群发或单发通知等，并可查看供应商阅读及反馈情况。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4）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供应商问题管理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提供供应商问题管理的功能，并可查看供应商问题及解决情况。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5）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提交质疑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供应商可提交质疑，质疑界面信息参考政府采购质疑函的格式与信息，并支持电子签章。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6）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供应商不良行为档案管理：区别于黑名单，建立分级供应商不良行为台账；记录不良行为对应项目、违规类型、处置措施、生效起止时间；供应商报名时系统自动校验不良记录并按规则限制报名。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7）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采购代理机构管理台账：登记代理机构基础信息，记录代理机构服务满意度调查结果、不良行为记录。</w:t>
            </w:r>
          </w:p>
        </w:tc>
      </w:tr>
    </w:tbl>
    <w:p>
      <w:pPr>
        <w:pStyle w:val="12"/>
      </w:pPr>
    </w:p>
    <w:p>
      <w:pPr>
        <w:pStyle w:val="12"/>
        <w:ind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1.8 平板电脑需求</w:t>
      </w:r>
    </w:p>
    <w:p>
      <w:pPr>
        <w:pStyle w:val="12"/>
        <w:ind w:firstLine="0" w:firstLineChars="0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屏幕14英寸，处理器速度≥2.2GHZ，内存≥16G，存储≥256G，数量8台。</w:t>
      </w:r>
    </w:p>
    <w:sectPr>
      <w:pgSz w:w="11906" w:h="16838"/>
      <w:pgMar w:top="1440" w:right="1077" w:bottom="1440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138DB"/>
    <w:multiLevelType w:val="singleLevel"/>
    <w:tmpl w:val="025138DB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166C9E56"/>
    <w:multiLevelType w:val="singleLevel"/>
    <w:tmpl w:val="166C9E56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">
    <w:nsid w:val="74A4144F"/>
    <w:multiLevelType w:val="multilevel"/>
    <w:tmpl w:val="74A4144F"/>
    <w:lvl w:ilvl="0" w:tentative="0">
      <w:start w:val="1"/>
      <w:numFmt w:val="chineseCountingThousand"/>
      <w:pStyle w:val="41"/>
      <w:lvlText w:val="%1、"/>
      <w:lvlJc w:val="left"/>
      <w:pPr>
        <w:ind w:left="862" w:hanging="440"/>
      </w:pPr>
    </w:lvl>
    <w:lvl w:ilvl="1" w:tentative="0">
      <w:start w:val="1"/>
      <w:numFmt w:val="lowerLetter"/>
      <w:lvlText w:val="%2)"/>
      <w:lvlJc w:val="left"/>
      <w:pPr>
        <w:ind w:left="1302" w:hanging="440"/>
      </w:pPr>
    </w:lvl>
    <w:lvl w:ilvl="2" w:tentative="0">
      <w:start w:val="1"/>
      <w:numFmt w:val="lowerRoman"/>
      <w:lvlText w:val="%3."/>
      <w:lvlJc w:val="right"/>
      <w:pPr>
        <w:ind w:left="1742" w:hanging="440"/>
      </w:pPr>
    </w:lvl>
    <w:lvl w:ilvl="3" w:tentative="0">
      <w:start w:val="1"/>
      <w:numFmt w:val="decimal"/>
      <w:lvlText w:val="%4."/>
      <w:lvlJc w:val="left"/>
      <w:pPr>
        <w:ind w:left="2182" w:hanging="440"/>
      </w:pPr>
    </w:lvl>
    <w:lvl w:ilvl="4" w:tentative="0">
      <w:start w:val="1"/>
      <w:numFmt w:val="lowerLetter"/>
      <w:lvlText w:val="%5)"/>
      <w:lvlJc w:val="left"/>
      <w:pPr>
        <w:ind w:left="2622" w:hanging="440"/>
      </w:pPr>
    </w:lvl>
    <w:lvl w:ilvl="5" w:tentative="0">
      <w:start w:val="1"/>
      <w:numFmt w:val="lowerRoman"/>
      <w:lvlText w:val="%6."/>
      <w:lvlJc w:val="right"/>
      <w:pPr>
        <w:ind w:left="3062" w:hanging="440"/>
      </w:pPr>
    </w:lvl>
    <w:lvl w:ilvl="6" w:tentative="0">
      <w:start w:val="1"/>
      <w:numFmt w:val="decimal"/>
      <w:lvlText w:val="%7."/>
      <w:lvlJc w:val="left"/>
      <w:pPr>
        <w:ind w:left="3502" w:hanging="440"/>
      </w:pPr>
    </w:lvl>
    <w:lvl w:ilvl="7" w:tentative="0">
      <w:start w:val="1"/>
      <w:numFmt w:val="lowerLetter"/>
      <w:lvlText w:val="%8)"/>
      <w:lvlJc w:val="left"/>
      <w:pPr>
        <w:ind w:left="3942" w:hanging="440"/>
      </w:pPr>
    </w:lvl>
    <w:lvl w:ilvl="8" w:tentative="0">
      <w:start w:val="1"/>
      <w:numFmt w:val="lowerRoman"/>
      <w:lvlText w:val="%9."/>
      <w:lvlJc w:val="right"/>
      <w:pPr>
        <w:ind w:left="4382" w:hanging="440"/>
      </w:pPr>
    </w:lvl>
  </w:abstractNum>
  <w:abstractNum w:abstractNumId="3">
    <w:nsid w:val="7F8CB79B"/>
    <w:multiLevelType w:val="singleLevel"/>
    <w:tmpl w:val="7F8CB7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0EB"/>
    <w:rsid w:val="0007648B"/>
    <w:rsid w:val="00110909"/>
    <w:rsid w:val="002877DD"/>
    <w:rsid w:val="002F18BF"/>
    <w:rsid w:val="002F5AAC"/>
    <w:rsid w:val="0032180A"/>
    <w:rsid w:val="00321B14"/>
    <w:rsid w:val="00333791"/>
    <w:rsid w:val="004F5716"/>
    <w:rsid w:val="005B31AD"/>
    <w:rsid w:val="006F5AD6"/>
    <w:rsid w:val="0071202E"/>
    <w:rsid w:val="008E4E77"/>
    <w:rsid w:val="009D4C96"/>
    <w:rsid w:val="00A42A43"/>
    <w:rsid w:val="00A85CD9"/>
    <w:rsid w:val="00AA7937"/>
    <w:rsid w:val="00BA023D"/>
    <w:rsid w:val="00D407AC"/>
    <w:rsid w:val="00DD5D93"/>
    <w:rsid w:val="00E14AED"/>
    <w:rsid w:val="00E570EB"/>
    <w:rsid w:val="00E8248A"/>
    <w:rsid w:val="00EC0A16"/>
    <w:rsid w:val="00F633A7"/>
    <w:rsid w:val="00F717C1"/>
    <w:rsid w:val="018F4CE2"/>
    <w:rsid w:val="035911EC"/>
    <w:rsid w:val="036F3C54"/>
    <w:rsid w:val="041967CC"/>
    <w:rsid w:val="04265AB9"/>
    <w:rsid w:val="06B51B17"/>
    <w:rsid w:val="077E471A"/>
    <w:rsid w:val="0B8909C1"/>
    <w:rsid w:val="100D2581"/>
    <w:rsid w:val="11C148F9"/>
    <w:rsid w:val="1C844F99"/>
    <w:rsid w:val="1DE65B5A"/>
    <w:rsid w:val="210D07F4"/>
    <w:rsid w:val="3B0E1A71"/>
    <w:rsid w:val="3C215908"/>
    <w:rsid w:val="3F8801BE"/>
    <w:rsid w:val="41B510B5"/>
    <w:rsid w:val="43716987"/>
    <w:rsid w:val="446C5420"/>
    <w:rsid w:val="4C521677"/>
    <w:rsid w:val="532A1F70"/>
    <w:rsid w:val="53860D95"/>
    <w:rsid w:val="53E11BCB"/>
    <w:rsid w:val="57AD2E37"/>
    <w:rsid w:val="5D4171A6"/>
    <w:rsid w:val="6308263E"/>
    <w:rsid w:val="660A02BA"/>
    <w:rsid w:val="6B825AEF"/>
    <w:rsid w:val="6CC43DC8"/>
    <w:rsid w:val="6DF7698D"/>
    <w:rsid w:val="6E2C4B48"/>
    <w:rsid w:val="746F73E2"/>
    <w:rsid w:val="7B835474"/>
    <w:rsid w:val="7D3D6339"/>
    <w:rsid w:val="7FE17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  <w14:ligatures w14:val="none"/>
    </w:rPr>
  </w:style>
  <w:style w:type="paragraph" w:styleId="3">
    <w:name w:val="heading 1"/>
    <w:basedOn w:val="1"/>
    <w:next w:val="1"/>
    <w:link w:val="21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4">
    <w:name w:val="heading 2"/>
    <w:basedOn w:val="1"/>
    <w:next w:val="1"/>
    <w:link w:val="22"/>
    <w:unhideWhenUsed/>
    <w:qFormat/>
    <w:uiPriority w:val="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5">
    <w:name w:val="heading 3"/>
    <w:basedOn w:val="1"/>
    <w:next w:val="1"/>
    <w:link w:val="23"/>
    <w:unhideWhenUsed/>
    <w:qFormat/>
    <w:uiPriority w:val="0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6">
    <w:name w:val="heading 4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7">
    <w:name w:val="heading 5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8">
    <w:name w:val="heading 6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9">
    <w:name w:val="heading 7"/>
    <w:basedOn w:val="1"/>
    <w:next w:val="1"/>
    <w:link w:val="27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8"/>
    <w:basedOn w:val="1"/>
    <w:next w:val="1"/>
    <w:link w:val="28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1">
    <w:name w:val="heading 9"/>
    <w:basedOn w:val="1"/>
    <w:next w:val="1"/>
    <w:link w:val="29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42"/>
    <w:qFormat/>
    <w:uiPriority w:val="0"/>
    <w:pPr>
      <w:adjustRightInd w:val="0"/>
      <w:snapToGrid w:val="0"/>
      <w:spacing w:line="440" w:lineRule="exact"/>
      <w:ind w:right="466" w:rightChars="244"/>
      <w:jc w:val="center"/>
    </w:pPr>
    <w:rPr>
      <w:rFonts w:ascii="仿宋_GB2312" w:eastAsia="仿宋_GB2312"/>
      <w:sz w:val="24"/>
      <w:szCs w:val="32"/>
    </w:rPr>
  </w:style>
  <w:style w:type="paragraph" w:styleId="12">
    <w:name w:val="Normal Indent"/>
    <w:basedOn w:val="1"/>
    <w:unhideWhenUsed/>
    <w:qFormat/>
    <w:uiPriority w:val="99"/>
    <w:pPr>
      <w:ind w:firstLine="420" w:firstLineChars="200"/>
    </w:pPr>
  </w:style>
  <w:style w:type="paragraph" w:styleId="13">
    <w:name w:val="foot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4">
    <w:name w:val="head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Subtitle"/>
    <w:basedOn w:val="1"/>
    <w:next w:val="1"/>
    <w:link w:val="31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Title"/>
    <w:basedOn w:val="1"/>
    <w:next w:val="1"/>
    <w:link w:val="30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7">
    <w:name w:val="Body Text First Indent"/>
    <w:basedOn w:val="2"/>
    <w:link w:val="43"/>
    <w:qFormat/>
    <w:uiPriority w:val="0"/>
    <w:pPr>
      <w:adjustRightInd/>
      <w:snapToGrid/>
      <w:spacing w:after="120" w:line="240" w:lineRule="auto"/>
      <w:ind w:right="0" w:rightChars="0" w:firstLine="420" w:firstLineChars="100"/>
      <w:jc w:val="both"/>
    </w:pPr>
    <w:rPr>
      <w:rFonts w:ascii="Times New Roman" w:eastAsia="宋体"/>
      <w:sz w:val="21"/>
      <w:szCs w:val="24"/>
    </w:rPr>
  </w:style>
  <w:style w:type="character" w:styleId="20">
    <w:name w:val="Strong"/>
    <w:basedOn w:val="19"/>
    <w:qFormat/>
    <w:uiPriority w:val="22"/>
    <w:rPr>
      <w:b/>
    </w:rPr>
  </w:style>
  <w:style w:type="character" w:customStyle="1" w:styleId="21">
    <w:name w:val="标题 1 字符"/>
    <w:basedOn w:val="19"/>
    <w:link w:val="3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2">
    <w:name w:val="标题 2 字符"/>
    <w:basedOn w:val="19"/>
    <w:link w:val="4"/>
    <w:qFormat/>
    <w:uiPriority w:val="0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3">
    <w:name w:val="标题 3 字符"/>
    <w:basedOn w:val="19"/>
    <w:link w:val="5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4">
    <w:name w:val="标题 4 字符"/>
    <w:basedOn w:val="19"/>
    <w:link w:val="6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5">
    <w:name w:val="标题 5 字符"/>
    <w:basedOn w:val="19"/>
    <w:link w:val="7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6">
    <w:name w:val="标题 6 字符"/>
    <w:basedOn w:val="19"/>
    <w:link w:val="8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7">
    <w:name w:val="标题 7 字符"/>
    <w:basedOn w:val="19"/>
    <w:link w:val="9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8 字符"/>
    <w:basedOn w:val="19"/>
    <w:link w:val="10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9 字符"/>
    <w:basedOn w:val="19"/>
    <w:link w:val="11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字符"/>
    <w:basedOn w:val="19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1">
    <w:name w:val="副标题 字符"/>
    <w:basedOn w:val="19"/>
    <w:link w:val="15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2">
    <w:name w:val="Quote"/>
    <w:basedOn w:val="1"/>
    <w:next w:val="1"/>
    <w:link w:val="33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3">
    <w:name w:val="引用 字符"/>
    <w:basedOn w:val="19"/>
    <w:link w:val="32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4">
    <w:name w:val="List Paragraph"/>
    <w:basedOn w:val="1"/>
    <w:qFormat/>
    <w:uiPriority w:val="34"/>
    <w:pPr>
      <w:ind w:left="720"/>
      <w:contextualSpacing/>
    </w:pPr>
  </w:style>
  <w:style w:type="character" w:customStyle="1" w:styleId="35">
    <w:name w:val="Intense Emphasis"/>
    <w:basedOn w:val="19"/>
    <w:qFormat/>
    <w:uiPriority w:val="21"/>
    <w:rPr>
      <w:i/>
      <w:iCs/>
      <w:color w:val="104862" w:themeColor="accent1" w:themeShade="BF"/>
    </w:rPr>
  </w:style>
  <w:style w:type="paragraph" w:styleId="36">
    <w:name w:val="Intense Quote"/>
    <w:basedOn w:val="1"/>
    <w:next w:val="1"/>
    <w:link w:val="37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7">
    <w:name w:val="明显引用 字符"/>
    <w:basedOn w:val="19"/>
    <w:link w:val="36"/>
    <w:qFormat/>
    <w:uiPriority w:val="30"/>
    <w:rPr>
      <w:i/>
      <w:iCs/>
      <w:color w:val="104862" w:themeColor="accent1" w:themeShade="BF"/>
    </w:rPr>
  </w:style>
  <w:style w:type="character" w:customStyle="1" w:styleId="38">
    <w:name w:val="Intense Reference"/>
    <w:basedOn w:val="19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9">
    <w:name w:val="页眉 字符"/>
    <w:basedOn w:val="19"/>
    <w:link w:val="14"/>
    <w:qFormat/>
    <w:uiPriority w:val="99"/>
    <w:rPr>
      <w:sz w:val="18"/>
      <w:szCs w:val="18"/>
    </w:rPr>
  </w:style>
  <w:style w:type="character" w:customStyle="1" w:styleId="40">
    <w:name w:val="页脚 字符"/>
    <w:basedOn w:val="19"/>
    <w:link w:val="13"/>
    <w:qFormat/>
    <w:uiPriority w:val="99"/>
    <w:rPr>
      <w:sz w:val="18"/>
      <w:szCs w:val="18"/>
    </w:rPr>
  </w:style>
  <w:style w:type="paragraph" w:customStyle="1" w:styleId="41">
    <w:name w:val="遴选文件1级"/>
    <w:basedOn w:val="1"/>
    <w:qFormat/>
    <w:uiPriority w:val="0"/>
    <w:pPr>
      <w:keepNext/>
      <w:keepLines/>
      <w:widowControl/>
      <w:numPr>
        <w:ilvl w:val="0"/>
        <w:numId w:val="1"/>
      </w:numPr>
      <w:spacing w:line="360" w:lineRule="auto"/>
      <w:jc w:val="left"/>
      <w:outlineLvl w:val="0"/>
    </w:pPr>
    <w:rPr>
      <w:rFonts w:hint="eastAsia" w:ascii="仿宋_GB2312" w:hAnsi="仿宋_GB2312" w:eastAsia="仿宋_GB2312" w:cs="宋体"/>
      <w:b/>
      <w:bCs/>
      <w:kern w:val="44"/>
      <w:sz w:val="24"/>
      <w:szCs w:val="44"/>
    </w:rPr>
  </w:style>
  <w:style w:type="character" w:customStyle="1" w:styleId="42">
    <w:name w:val="正文文本 字符"/>
    <w:basedOn w:val="19"/>
    <w:link w:val="2"/>
    <w:qFormat/>
    <w:uiPriority w:val="0"/>
    <w:rPr>
      <w:rFonts w:ascii="仿宋_GB2312" w:hAnsi="Times New Roman" w:eastAsia="仿宋_GB2312" w:cs="Times New Roman"/>
      <w:sz w:val="24"/>
      <w:szCs w:val="32"/>
      <w14:ligatures w14:val="none"/>
    </w:rPr>
  </w:style>
  <w:style w:type="character" w:customStyle="1" w:styleId="43">
    <w:name w:val="正文文本首行缩进 字符"/>
    <w:basedOn w:val="42"/>
    <w:link w:val="17"/>
    <w:qFormat/>
    <w:uiPriority w:val="0"/>
    <w:rPr>
      <w:rFonts w:ascii="Times New Roman" w:hAnsi="Times New Roman" w:eastAsia="宋体" w:cs="Times New Roman"/>
      <w:sz w:val="21"/>
      <w:szCs w:val="32"/>
      <w14:ligatures w14:val="none"/>
    </w:rPr>
  </w:style>
  <w:style w:type="paragraph" w:customStyle="1" w:styleId="44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2472</Words>
  <Characters>2508</Characters>
  <Lines>182</Lines>
  <Paragraphs>227</Paragraphs>
  <TotalTime>0</TotalTime>
  <ScaleCrop>false</ScaleCrop>
  <LinksUpToDate>false</LinksUpToDate>
  <CharactersWithSpaces>2563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2025-06-13T01:38:00Z</dcterms:created>
  <dc:creator>xl yang</dc:creator>
  <cp:lastModifiedBy>办公室</cp:lastModifiedBy>
  <dcterms:modified xsi:type="dcterms:W3CDTF">2026-10-27T08:00:08Z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  <property fmtid="{D5CDD505-2E9C-101B-9397-08002B2CF9AE}" pid="3" name="KSOTemplateDocerSaveRecord">
    <vt:lpwstr>eyJoZGlkIjoiZjNkZmZhMjE0ODNjZjVlZTg5Y2MxMDVkN2Y5MTZiNzAiLCJ1c2VySWQiOiI0ODAzMjE4ODAifQ==</vt:lpwstr>
  </property>
  <property fmtid="{D5CDD505-2E9C-101B-9397-08002B2CF9AE}" pid="4" name="ICV">
    <vt:lpwstr>17AF143118BE477EBAA44CB29F33416D</vt:lpwstr>
  </property>
</Properties>
</file>