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jc w:val="center"/>
        <w:outlineLvl w:val="2"/>
        <w:rPr>
          <w:rFonts w:ascii="黑体" w:hAnsi="宋体" w:eastAsia="黑体" w:cs="宋体"/>
          <w:color w:val="000000" w:themeColor="text1"/>
          <w:sz w:val="28"/>
          <w:szCs w:val="28"/>
          <w14:textFill>
            <w14:solidFill>
              <w14:schemeClr w14:val="tx1"/>
            </w14:solidFill>
          </w14:textFill>
        </w:rPr>
      </w:pPr>
      <w:bookmarkStart w:id="0" w:name="_GoBack"/>
      <w:r>
        <w:rPr>
          <w:rFonts w:hint="eastAsia" w:ascii="黑体" w:hAnsi="宋体" w:eastAsia="黑体" w:cs="宋体"/>
          <w:color w:val="000000" w:themeColor="text1"/>
          <w:sz w:val="28"/>
          <w:szCs w:val="28"/>
          <w14:textFill>
            <w14:solidFill>
              <w14:schemeClr w14:val="tx1"/>
            </w14:solidFill>
          </w14:textFill>
        </w:rPr>
        <w:t>综合评分表</w:t>
      </w:r>
    </w:p>
    <w:tbl>
      <w:tblPr>
        <w:tblStyle w:val="4"/>
        <w:tblW w:w="894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
      <w:tblGrid>
        <w:gridCol w:w="678"/>
        <w:gridCol w:w="1598"/>
        <w:gridCol w:w="5110"/>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15" w:hRule="atLeast"/>
        </w:trPr>
        <w:tc>
          <w:tcPr>
            <w:tcW w:w="678" w:type="dxa"/>
            <w:tcBorders>
              <w:top w:val="single" w:color="auto" w:sz="12" w:space="0"/>
              <w:left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1598" w:type="dxa"/>
            <w:tcBorders>
              <w:top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评审因素</w:t>
            </w:r>
          </w:p>
        </w:tc>
        <w:tc>
          <w:tcPr>
            <w:tcW w:w="5110" w:type="dxa"/>
            <w:tcBorders>
              <w:top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评分细则</w:t>
            </w:r>
          </w:p>
        </w:tc>
        <w:tc>
          <w:tcPr>
            <w:tcW w:w="709" w:type="dxa"/>
            <w:tcBorders>
              <w:top w:val="single" w:color="auto" w:sz="12" w:space="0"/>
              <w:right w:val="single" w:color="auto" w:sz="4"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权重（%）</w:t>
            </w:r>
          </w:p>
        </w:tc>
        <w:tc>
          <w:tcPr>
            <w:tcW w:w="851" w:type="dxa"/>
            <w:tcBorders>
              <w:top w:val="single" w:color="auto" w:sz="12" w:space="0"/>
              <w:left w:val="single" w:color="auto" w:sz="4" w:space="0"/>
              <w:right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383" w:hRule="atLeast"/>
        </w:trPr>
        <w:tc>
          <w:tcPr>
            <w:tcW w:w="678" w:type="dxa"/>
            <w:tcBorders>
              <w:left w:val="single" w:color="auto" w:sz="12" w:space="0"/>
            </w:tcBorders>
            <w:vAlign w:val="center"/>
          </w:tcPr>
          <w:p>
            <w:pPr>
              <w:widowControl/>
              <w:snapToGrid w:val="0"/>
              <w:spacing w:line="264" w:lineRule="auto"/>
              <w:jc w:val="center"/>
              <w:rPr>
                <w:rFonts w:ascii="黑体" w:hAnsi="宋体" w:eastAsia="黑体" w:cs="宋体"/>
                <w:color w:val="000000" w:themeColor="text1"/>
                <w:sz w:val="24"/>
                <w14:textFill>
                  <w14:solidFill>
                    <w14:schemeClr w14:val="tx1"/>
                  </w14:solidFill>
                </w14:textFill>
              </w:rPr>
            </w:pPr>
            <w:r>
              <w:rPr>
                <w:rFonts w:hint="eastAsia" w:ascii="黑体" w:hAnsi="宋体" w:eastAsia="黑体" w:cs="宋体"/>
                <w:color w:val="000000" w:themeColor="text1"/>
                <w:sz w:val="24"/>
                <w14:textFill>
                  <w14:solidFill>
                    <w14:schemeClr w14:val="tx1"/>
                  </w14:solidFill>
                </w14:textFill>
              </w:rPr>
              <w:t>一</w:t>
            </w:r>
          </w:p>
        </w:tc>
        <w:tc>
          <w:tcPr>
            <w:tcW w:w="8268" w:type="dxa"/>
            <w:gridSpan w:val="4"/>
            <w:tcBorders>
              <w:right w:val="single" w:color="auto" w:sz="12" w:space="0"/>
            </w:tcBorders>
            <w:vAlign w:val="center"/>
          </w:tcPr>
          <w:p>
            <w:pPr>
              <w:widowControl/>
              <w:snapToGrid w:val="0"/>
              <w:spacing w:line="264" w:lineRule="auto"/>
              <w:jc w:val="center"/>
              <w:rPr>
                <w:rFonts w:hint="eastAsia" w:ascii="仿宋" w:hAnsi="仿宋" w:eastAsia="仿宋" w:cs="仿宋"/>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技术部分(合计</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2"/>
                <w:szCs w:val="22"/>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61" w:hRule="atLeast"/>
        </w:trPr>
        <w:tc>
          <w:tcPr>
            <w:tcW w:w="678" w:type="dxa"/>
            <w:tcBorders>
              <w:left w:val="single" w:color="auto" w:sz="12" w:space="0"/>
            </w:tcBorders>
            <w:vAlign w:val="center"/>
          </w:tcPr>
          <w:p>
            <w:pPr>
              <w:pStyle w:val="6"/>
              <w:numPr>
                <w:ilvl w:val="0"/>
                <w:numId w:val="1"/>
              </w:numPr>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widowControl/>
              <w:jc w:val="center"/>
              <w:textAlignment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技术指标响应情况</w:t>
            </w:r>
          </w:p>
        </w:tc>
        <w:tc>
          <w:tcPr>
            <w:tcW w:w="5110" w:type="dxa"/>
            <w:vAlign w:val="center"/>
          </w:tcPr>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投标人提供</w:t>
            </w:r>
            <w:r>
              <w:rPr>
                <w:rFonts w:hint="eastAsia" w:asciiTheme="minorEastAsia" w:hAnsiTheme="minorEastAsia" w:eastAsiaTheme="minorEastAsia" w:cstheme="minorEastAsia"/>
                <w:color w:val="000000" w:themeColor="text1"/>
                <w:sz w:val="21"/>
                <w:szCs w:val="21"/>
                <w14:textFill>
                  <w14:solidFill>
                    <w14:schemeClr w14:val="tx1"/>
                  </w14:solidFill>
                </w14:textFill>
              </w:rPr>
              <w:t>云资源</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服务如：虚拟机、物理机、存储方案、负载均衡、网络性能的重要技术参数、性能等的符合性。</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大型虚拟机:</w:t>
            </w: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台（8核主频≥2.0GHz vCPU、32GB内存、100GB存储空间）</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中型虚拟机:</w:t>
            </w:r>
            <w:r>
              <w:rPr>
                <w:rFonts w:hint="eastAsia" w:asciiTheme="minorEastAsia" w:hAnsiTheme="minorEastAsia" w:eastAsiaTheme="minorEastAsia" w:cstheme="minorEastAsia"/>
                <w:color w:val="000000" w:themeColor="text1"/>
                <w:sz w:val="21"/>
                <w:szCs w:val="21"/>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台（4核主频≥2.0GHz vCPU、16GB内存、100GB存储空间）</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小型虚拟机:</w:t>
            </w: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台（2核主频≥2.0GHz vCPU、8GB内存、50GB存储空间）</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高负载应用专用服务器1（含2U机柜）:</w:t>
            </w: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台（2路*8核CPU 主频≥2.4GHz、128GB内存、3*300GB、2*200GB SSD、HBA卡、千兆网卡，同时含租赁2U机柜1个）</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数据存储100GB IP-SAN:裸容量</w:t>
            </w:r>
            <w:r>
              <w:rPr>
                <w:rFonts w:hint="eastAsia" w:asciiTheme="minorEastAsia" w:hAnsiTheme="minorEastAsia" w:eastAsiaTheme="minorEastAsia" w:cstheme="minorEastAsia"/>
                <w:color w:val="000000" w:themeColor="text1"/>
                <w:sz w:val="21"/>
                <w:szCs w:val="21"/>
                <w14:textFill>
                  <w14:solidFill>
                    <w14:schemeClr w14:val="tx1"/>
                  </w14:solidFill>
                </w14:textFill>
              </w:rPr>
              <w:t>314</w:t>
            </w:r>
            <w:r>
              <w:rPr>
                <w:rFonts w:hint="eastAsia" w:asciiTheme="minorEastAsia" w:hAnsiTheme="minorEastAsia" w:eastAsiaTheme="minorEastAsia" w:cstheme="minorEastAsia"/>
                <w:color w:val="000000" w:themeColor="text1"/>
                <w:sz w:val="21"/>
                <w:szCs w:val="21"/>
                <w14:textFill>
                  <w14:solidFill>
                    <w14:schemeClr w14:val="tx1"/>
                  </w14:solidFill>
                </w14:textFill>
              </w:rPr>
              <w:t>个（①存储采用SAN存储架构，进行全路径冗余设计，存储服务全年可用率高于99.99%。②提供0数据丢失服务，不会因为硬件故障导致数据丢失；提供数据保护，保证数据完整。③IP-SAN存储总体IOPS性能不低于20000，总体带宽≥3000Mbps，每客户端的IOPS≥600。 ④存储支持在线扩容及删除，并且不影响客户端使用。⑤支持对存储空间的数据彻底销毁，对底层存储介质实现完全初始化，防止数据删除后被非法还原。⑥存储池的用户数据隔离：物理主机访问存储时，提供存储卷级别隔离措施及用户级别访问控制措施；虚拟机访问存储池，提供用户级别访问控制措施；测试数据存储资源池（测试区）与生产区存储资源池物理隔离。⑦；投标人对设备的扩容需保证不影响用户业务系统，在1个工作日内响应，5个工作日内完成扩容任务）</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硬件级负载均衡服务（1-7层）</w:t>
            </w: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套：接口至少16个 10/100/1000电口，至少4个千兆光口，至少2个万兆光口；并发连接数≥1600万；4层每秒新建连接数 (CPS) 50万以上，7层每秒新建连接数（CPS) 40万以上，SSL每秒新建连接数 （CPS）3万以上；</w:t>
            </w:r>
          </w:p>
          <w:p>
            <w:pPr>
              <w:snapToGrid w:val="0"/>
              <w:spacing w:line="264"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完全符合得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14:textFill>
                  <w14:solidFill>
                    <w14:schemeClr w14:val="tx1"/>
                  </w14:solidFill>
                </w14:textFill>
              </w:rPr>
              <w:t>分，否则不得分。</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w:t>
            </w:r>
          </w:p>
        </w:tc>
        <w:tc>
          <w:tcPr>
            <w:tcW w:w="709" w:type="dxa"/>
            <w:tcBorders>
              <w:right w:val="single" w:color="auto" w:sz="4" w:space="0"/>
            </w:tcBorders>
            <w:vAlign w:val="center"/>
          </w:tcPr>
          <w:p>
            <w:pPr>
              <w:snapToGrid w:val="0"/>
              <w:spacing w:line="264" w:lineRule="auto"/>
              <w:ind w:left="-78" w:leftChars="-37" w:right="-73" w:rightChars="-35"/>
              <w:jc w:val="center"/>
              <w:rPr>
                <w:rFonts w:hint="eastAsia" w:ascii="仿宋" w:hAnsi="仿宋" w:eastAsia="仿宋" w:cs="仿宋"/>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15</w:t>
            </w:r>
            <w:r>
              <w:rPr>
                <w:rFonts w:hint="eastAsia" w:ascii="仿宋" w:hAnsi="仿宋" w:eastAsia="仿宋" w:cs="仿宋"/>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61" w:hRule="atLeast"/>
        </w:trPr>
        <w:tc>
          <w:tcPr>
            <w:tcW w:w="678" w:type="dxa"/>
            <w:tcBorders>
              <w:left w:val="single" w:color="auto" w:sz="12" w:space="0"/>
            </w:tcBorders>
            <w:vAlign w:val="center"/>
          </w:tcPr>
          <w:p>
            <w:pPr>
              <w:pStyle w:val="6"/>
              <w:numPr>
                <w:ilvl w:val="0"/>
                <w:numId w:val="1"/>
              </w:numPr>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总体服务方案</w:t>
            </w:r>
          </w:p>
        </w:tc>
        <w:tc>
          <w:tcPr>
            <w:tcW w:w="5110" w:type="dxa"/>
            <w:vAlign w:val="center"/>
          </w:tcPr>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投标人提供</w:t>
            </w:r>
            <w:r>
              <w:rPr>
                <w:rFonts w:hint="eastAsia" w:asciiTheme="minorEastAsia" w:hAnsiTheme="minorEastAsia" w:eastAsiaTheme="minorEastAsia" w:cstheme="minorEastAsia"/>
                <w:color w:val="000000" w:themeColor="text1"/>
                <w:sz w:val="21"/>
                <w:szCs w:val="21"/>
                <w14:textFill>
                  <w14:solidFill>
                    <w14:schemeClr w14:val="tx1"/>
                  </w14:solidFill>
                </w14:textFill>
              </w:rPr>
              <w:t>云平台</w:t>
            </w:r>
            <w:r>
              <w:rPr>
                <w:rFonts w:hint="eastAsia" w:asciiTheme="minorEastAsia" w:hAnsiTheme="minorEastAsia" w:eastAsiaTheme="minorEastAsia" w:cstheme="minorEastAsia"/>
                <w:color w:val="000000" w:themeColor="text1"/>
                <w:sz w:val="21"/>
                <w:szCs w:val="21"/>
                <w14:textFill>
                  <w14:solidFill>
                    <w14:schemeClr w14:val="tx1"/>
                  </w14:solidFill>
                </w14:textFill>
              </w:rPr>
              <w:t>业务系统完整不受影响的迁移方案和过渡方案(从实现容易程度，风险可控程度，经济效益程度，业务中断时间长短)</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总体服务方案全面，详细具体，合理可行性良好的，得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25分；</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总体服务方案全面，较详细具体，合理可行性一般的，得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总体服务方案不全面，不详细具体，合理可行性差的，得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709" w:type="dxa"/>
            <w:tcBorders>
              <w:right w:val="single" w:color="auto" w:sz="4" w:space="0"/>
            </w:tcBorders>
            <w:vAlign w:val="center"/>
          </w:tcPr>
          <w:p>
            <w:pPr>
              <w:snapToGrid w:val="0"/>
              <w:spacing w:line="264" w:lineRule="auto"/>
              <w:ind w:left="-78" w:leftChars="-37" w:right="-73" w:rightChars="-35"/>
              <w:jc w:val="center"/>
              <w:rPr>
                <w:rFonts w:hint="eastAsia" w:ascii="仿宋" w:hAnsi="仿宋" w:eastAsia="仿宋" w:cs="仿宋"/>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914" w:hRule="atLeast"/>
        </w:trPr>
        <w:tc>
          <w:tcPr>
            <w:tcW w:w="678" w:type="dxa"/>
            <w:tcBorders>
              <w:left w:val="single" w:color="auto" w:sz="12" w:space="0"/>
            </w:tcBorders>
            <w:vAlign w:val="center"/>
          </w:tcPr>
          <w:p>
            <w:pPr>
              <w:pStyle w:val="6"/>
              <w:numPr>
                <w:ilvl w:val="0"/>
                <w:numId w:val="1"/>
              </w:numPr>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投标人所提供的运维团队工程师资质要求</w:t>
            </w:r>
          </w:p>
        </w:tc>
        <w:tc>
          <w:tcPr>
            <w:tcW w:w="5110" w:type="dxa"/>
            <w:vAlign w:val="center"/>
          </w:tcPr>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资深数据库工程师：熟悉主流数据库体系结构，有数据库管理经验；有安装，定制和实施数据处理方面的经验；具有数据库编程能力，具有大型数据库管理、备份、架构规划能力；具备OCP或数据库系统工程师或同类证书；</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（2）高级虚拟化工程师：精通Xen、KVM、VMware、Hyper-V等虚拟化产品技术；熟悉OpenStack、CloudStack、XCP及国产主流云平台等虚拟化云平台，有丰富的云计算技术架构设计经验，具备ACP或RHCE或同类证书；</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（3）高级运维工程师：熟练掌握主流、linux及国产操作系统、具备编写管理脚本能力；具备大规模数据中心架构规划能力，具备MCSE2008或RHCE或同类证书。</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团队包括至少7名运维人员（资深数据库工程师&gt;=2、高级虚拟化工程师&gt;=3、高级运维工程师&gt;=2）</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（需同时提供证书复印件及人员近三个月的缴纳社保证明材料</w:t>
            </w:r>
            <w:r>
              <w:rPr>
                <w:rFonts w:hint="eastAsia" w:asciiTheme="minorEastAsia" w:hAnsiTheme="minorEastAsia" w:cstheme="minorEastAsia"/>
                <w:color w:val="000000" w:themeColor="text1"/>
                <w:sz w:val="21"/>
                <w:szCs w:val="21"/>
                <w:lang w:val="en-US" w:eastAsia="zh-CN"/>
                <w14:textFill>
                  <w14:solidFill>
                    <w14:schemeClr w14:val="tx1"/>
                  </w14:solidFill>
                </w14:textFill>
              </w:rPr>
              <w:t>,社保缴纳单位必须为人员实际所在单位</w:t>
            </w:r>
            <w:r>
              <w:rPr>
                <w:rFonts w:hint="eastAsia" w:asciiTheme="minorEastAsia" w:hAnsiTheme="minorEastAsia" w:eastAsiaTheme="minorEastAsia" w:cstheme="minorEastAsia"/>
                <w:color w:val="000000" w:themeColor="text1"/>
                <w:sz w:val="21"/>
                <w:szCs w:val="21"/>
                <w14:textFill>
                  <w14:solidFill>
                    <w14:schemeClr w14:val="tx1"/>
                  </w14:solidFill>
                </w14:textFill>
              </w:rPr>
              <w:t>。全部提供得10分，提供</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至6个得6分，提供</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个</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少于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14:textFill>
                  <w14:solidFill>
                    <w14:schemeClr w14:val="tx1"/>
                  </w14:solidFill>
                </w14:textFill>
              </w:rPr>
              <w:t>未按要求提供证明材料的不得分。）</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914" w:hRule="atLeast"/>
        </w:trPr>
        <w:tc>
          <w:tcPr>
            <w:tcW w:w="678" w:type="dxa"/>
            <w:tcBorders>
              <w:left w:val="single" w:color="auto" w:sz="12" w:space="0"/>
            </w:tcBorders>
            <w:vAlign w:val="center"/>
          </w:tcPr>
          <w:p>
            <w:pPr>
              <w:pStyle w:val="6"/>
              <w:numPr>
                <w:ilvl w:val="0"/>
                <w:numId w:val="1"/>
              </w:numPr>
              <w:snapToGrid w:val="0"/>
              <w:spacing w:line="264" w:lineRule="auto"/>
              <w:ind w:left="2662" w:leftChars="0" w:hanging="420"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、故障响应</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情况</w:t>
            </w:r>
          </w:p>
        </w:tc>
        <w:tc>
          <w:tcPr>
            <w:tcW w:w="5110" w:type="dxa"/>
            <w:vAlign w:val="center"/>
          </w:tcPr>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（1）投标人需提供7*24运营响应服务。</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（2）前台响应效率≤10分钟，响应渠道包含电话、IM在线、邮件等方式。支撑内容包括：业务咨询、流程催办、服务申请引导、报障引导等。</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（3）投标人要求能够保留用户报障记录至少一个月时间以便事后能够追溯。</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不满足（1）不得分，满足全部，得10分</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只满足（1）（2）或（1）（3）得4分</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hint="eastAsia"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61" w:hRule="atLeast"/>
        </w:trPr>
        <w:tc>
          <w:tcPr>
            <w:tcW w:w="678" w:type="dxa"/>
            <w:tcBorders>
              <w:left w:val="single" w:color="auto" w:sz="12" w:space="0"/>
            </w:tcBorders>
            <w:vAlign w:val="center"/>
          </w:tcPr>
          <w:p>
            <w:pPr>
              <w:pStyle w:val="6"/>
              <w:numPr>
                <w:ilvl w:val="0"/>
                <w:numId w:val="1"/>
              </w:numPr>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应急方案及措施</w:t>
            </w:r>
          </w:p>
        </w:tc>
        <w:tc>
          <w:tcPr>
            <w:tcW w:w="5110" w:type="dxa"/>
            <w:vAlign w:val="center"/>
          </w:tcPr>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拥有机房电力、光纤链路、云平台网络层、光纤交换机、云控制器、同城应急灾备链路、存储故障的应急保障。</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应急方案及措施全面，较详细，可行性较高的，得7-10分；</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应急方案及措施不全面，但较详细，具有一定可行性的，得4-6分；</w:t>
            </w:r>
          </w:p>
          <w:p>
            <w:pPr>
              <w:snapToGrid w:val="0"/>
              <w:spacing w:line="264"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应急方案及措施不全面，可行性差，得1-3分；</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10分</w:t>
            </w:r>
          </w:p>
        </w:tc>
      </w:tr>
    </w:tbl>
    <w:p>
      <w:pPr>
        <w:widowControl/>
        <w:snapToGrid w:val="0"/>
        <w:spacing w:line="264" w:lineRule="auto"/>
        <w:jc w:val="both"/>
        <w:rPr>
          <w:rFonts w:hint="eastAsia" w:ascii="黑体" w:hAnsi="宋体" w:eastAsia="黑体" w:cs="宋体"/>
          <w:color w:val="000000" w:themeColor="text1"/>
          <w:sz w:val="24"/>
          <w14:textFill>
            <w14:solidFill>
              <w14:schemeClr w14:val="tx1"/>
            </w14:solidFill>
          </w14:textFill>
        </w:rPr>
      </w:pPr>
      <w:r>
        <w:rPr>
          <w:rFonts w:hint="eastAsia" w:ascii="黑体" w:hAnsi="宋体" w:eastAsia="黑体" w:cs="宋体"/>
          <w:color w:val="000000" w:themeColor="text1"/>
          <w:sz w:val="24"/>
          <w14:textFill>
            <w14:solidFill>
              <w14:schemeClr w14:val="tx1"/>
            </w14:solidFill>
          </w14:textFill>
        </w:rPr>
        <w:br w:type="page"/>
      </w:r>
    </w:p>
    <w:tbl>
      <w:tblPr>
        <w:tblStyle w:val="4"/>
        <w:tblW w:w="894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
      <w:tblGrid>
        <w:gridCol w:w="678"/>
        <w:gridCol w:w="1598"/>
        <w:gridCol w:w="5110"/>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377" w:hRule="atLeast"/>
        </w:trPr>
        <w:tc>
          <w:tcPr>
            <w:tcW w:w="678" w:type="dxa"/>
            <w:tcBorders>
              <w:top w:val="single" w:color="auto" w:sz="4" w:space="0"/>
              <w:left w:val="single" w:color="auto" w:sz="12" w:space="0"/>
            </w:tcBorders>
            <w:vAlign w:val="center"/>
          </w:tcPr>
          <w:p>
            <w:pPr>
              <w:widowControl/>
              <w:snapToGrid w:val="0"/>
              <w:spacing w:line="264" w:lineRule="auto"/>
              <w:jc w:val="center"/>
              <w:rPr>
                <w:rFonts w:hint="eastAsia" w:ascii="黑体" w:hAnsi="宋体" w:eastAsia="黑体" w:cs="宋体"/>
                <w:color w:val="000000" w:themeColor="text1"/>
                <w:sz w:val="24"/>
                <w:lang w:val="en-US" w:eastAsia="zh-CN"/>
                <w14:textFill>
                  <w14:solidFill>
                    <w14:schemeClr w14:val="tx1"/>
                  </w14:solidFill>
                </w14:textFill>
              </w:rPr>
            </w:pPr>
            <w:r>
              <w:rPr>
                <w:rFonts w:hint="eastAsia" w:ascii="黑体" w:hAnsi="宋体" w:eastAsia="黑体" w:cs="宋体"/>
                <w:color w:val="000000" w:themeColor="text1"/>
                <w:sz w:val="24"/>
                <w:lang w:val="en-US" w:eastAsia="zh-CN"/>
                <w14:textFill>
                  <w14:solidFill>
                    <w14:schemeClr w14:val="tx1"/>
                  </w14:solidFill>
                </w14:textFill>
              </w:rPr>
              <w:t>二</w:t>
            </w:r>
          </w:p>
        </w:tc>
        <w:tc>
          <w:tcPr>
            <w:tcW w:w="8268" w:type="dxa"/>
            <w:gridSpan w:val="4"/>
            <w:tcBorders>
              <w:right w:val="single" w:color="auto" w:sz="12" w:space="0"/>
            </w:tcBorders>
            <w:vAlign w:val="center"/>
          </w:tcPr>
          <w:p>
            <w:pPr>
              <w:widowControl/>
              <w:snapToGrid w:val="0"/>
              <w:spacing w:line="264" w:lineRule="auto"/>
              <w:ind w:right="-73" w:rightChars="-35" w:firstLine="2200" w:firstLineChars="1000"/>
              <w:jc w:val="both"/>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商务部分(合计2</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2"/>
                <w:szCs w:val="22"/>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861" w:hRule="atLeast"/>
        </w:trPr>
        <w:tc>
          <w:tcPr>
            <w:tcW w:w="678" w:type="dxa"/>
            <w:tcBorders>
              <w:left w:val="single" w:color="auto" w:sz="12" w:space="0"/>
              <w:bottom w:val="single" w:color="auto" w:sz="4" w:space="0"/>
            </w:tcBorders>
            <w:vAlign w:val="center"/>
          </w:tcPr>
          <w:p>
            <w:pPr>
              <w:pStyle w:val="6"/>
              <w:numPr>
                <w:ilvl w:val="0"/>
                <w:numId w:val="2"/>
              </w:numPr>
              <w:tabs>
                <w:tab w:val="clear" w:pos="420"/>
              </w:tabs>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widowControl/>
              <w:jc w:val="left"/>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同类项目业绩</w:t>
            </w:r>
          </w:p>
        </w:tc>
        <w:tc>
          <w:tcPr>
            <w:tcW w:w="5110" w:type="dxa"/>
            <w:vAlign w:val="center"/>
          </w:tcPr>
          <w:p>
            <w:pPr>
              <w:widowControl/>
              <w:jc w:val="left"/>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根据</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企业</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2020年度至今的合同，每提供一项得2分，最高得</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不提供</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不得分。</w:t>
            </w: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需要合同复印件并附带公司盖章</w:t>
            </w: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lang w:val="en-US" w:eastAsia="zh-CN"/>
                <w14:textFill>
                  <w14:solidFill>
                    <w14:schemeClr w14:val="tx1"/>
                  </w14:solidFill>
                </w14:textFill>
              </w:rPr>
              <w:t>8</w:t>
            </w:r>
            <w:r>
              <w:rPr>
                <w:rFonts w:hint="eastAsia" w:cs="宋体" w:asciiTheme="minorEastAsia" w:hAnsiTheme="minorEastAsia"/>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406" w:hRule="atLeast"/>
        </w:trPr>
        <w:tc>
          <w:tcPr>
            <w:tcW w:w="678" w:type="dxa"/>
            <w:tcBorders>
              <w:left w:val="single" w:color="auto" w:sz="12" w:space="0"/>
              <w:bottom w:val="single" w:color="auto" w:sz="4" w:space="0"/>
            </w:tcBorders>
            <w:vAlign w:val="center"/>
          </w:tcPr>
          <w:p>
            <w:pPr>
              <w:pStyle w:val="6"/>
              <w:numPr>
                <w:ilvl w:val="0"/>
                <w:numId w:val="2"/>
              </w:numPr>
              <w:tabs>
                <w:tab w:val="clear" w:pos="420"/>
              </w:tabs>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widowControl/>
              <w:jc w:val="left"/>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管理体系认证</w:t>
            </w:r>
          </w:p>
        </w:tc>
        <w:tc>
          <w:tcPr>
            <w:tcW w:w="5110" w:type="dxa"/>
            <w:vAlign w:val="center"/>
          </w:tcPr>
          <w:p>
            <w:pPr>
              <w:widowControl/>
              <w:jc w:val="left"/>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所在单位拥有</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以下管理体系认证证书: ISO9001、IS014001、ISO27001、IS045001。分公司投标的，总公司（总所）或省级分公司的资质证书可纳入评审。</w:t>
            </w:r>
          </w:p>
          <w:p>
            <w:pPr>
              <w:widowControl/>
              <w:jc w:val="left"/>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全部提供得</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每</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提供1个得</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分，不提供不得分。</w:t>
            </w: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需要提供复印件并附带公司盖章</w:t>
            </w: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lang w:val="en-US" w:eastAsia="zh-CN"/>
                <w14:textFill>
                  <w14:solidFill>
                    <w14:schemeClr w14:val="tx1"/>
                  </w14:solidFill>
                </w14:textFill>
              </w:rPr>
              <w:t>4</w:t>
            </w:r>
            <w:r>
              <w:rPr>
                <w:rFonts w:hint="eastAsia" w:cs="宋体" w:asciiTheme="minorEastAsia" w:hAnsiTheme="minorEastAsia"/>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1301" w:hRule="atLeast"/>
        </w:trPr>
        <w:tc>
          <w:tcPr>
            <w:tcW w:w="678" w:type="dxa"/>
            <w:tcBorders>
              <w:left w:val="single" w:color="auto" w:sz="12" w:space="0"/>
              <w:bottom w:val="single" w:color="auto" w:sz="4" w:space="0"/>
            </w:tcBorders>
            <w:vAlign w:val="center"/>
          </w:tcPr>
          <w:p>
            <w:pPr>
              <w:pStyle w:val="6"/>
              <w:numPr>
                <w:ilvl w:val="0"/>
                <w:numId w:val="2"/>
              </w:numPr>
              <w:tabs>
                <w:tab w:val="clear" w:pos="420"/>
              </w:tabs>
              <w:snapToGrid w:val="0"/>
              <w:spacing w:line="264" w:lineRule="auto"/>
              <w:ind w:left="2662" w:firstLineChars="0"/>
              <w:jc w:val="center"/>
              <w:rPr>
                <w:rFonts w:ascii="宋体" w:hAnsi="宋体"/>
                <w:color w:val="000000" w:themeColor="text1"/>
                <w:szCs w:val="21"/>
                <w14:textFill>
                  <w14:solidFill>
                    <w14:schemeClr w14:val="tx1"/>
                  </w14:solidFill>
                </w14:textFill>
              </w:rPr>
            </w:pPr>
          </w:p>
        </w:tc>
        <w:tc>
          <w:tcPr>
            <w:tcW w:w="1598" w:type="dxa"/>
            <w:vAlign w:val="center"/>
          </w:tcPr>
          <w:p>
            <w:pPr>
              <w:snapToGrid w:val="0"/>
              <w:spacing w:line="264" w:lineRule="auto"/>
              <w:ind w:left="-63" w:leftChars="-30" w:right="-88" w:rightChars="-4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业务承诺</w:t>
            </w:r>
          </w:p>
        </w:tc>
        <w:tc>
          <w:tcPr>
            <w:tcW w:w="5110" w:type="dxa"/>
            <w:vAlign w:val="center"/>
          </w:tcPr>
          <w:p>
            <w:pPr>
              <w:pStyle w:val="3"/>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投标人承诺如中标，于合同签订7天内完成接管采购人原承载于联通政务云的业务系统，并确保云上系统的业务稳定性和服务连续性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且承担迁移过程产生的所有费用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包含已经发生的租赁费用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3"/>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（投标人需要出具承诺函并加盖公章）</w:t>
            </w: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满足得</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分，不满足不得分。</w:t>
            </w:r>
          </w:p>
        </w:tc>
        <w:tc>
          <w:tcPr>
            <w:tcW w:w="709" w:type="dxa"/>
            <w:tcBorders>
              <w:right w:val="single" w:color="auto" w:sz="4"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lang w:val="en-US" w:eastAsia="zh-CN"/>
                <w14:textFill>
                  <w14:solidFill>
                    <w14:schemeClr w14:val="tx1"/>
                  </w14:solidFill>
                </w14:textFill>
              </w:rPr>
              <w:t>8</w:t>
            </w:r>
            <w:r>
              <w:rPr>
                <w:rFonts w:hint="eastAsia" w:cs="宋体" w:asciiTheme="minorEastAsia" w:hAnsiTheme="minorEastAsia"/>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533" w:hRule="atLeast"/>
        </w:trPr>
        <w:tc>
          <w:tcPr>
            <w:tcW w:w="678" w:type="dxa"/>
            <w:tcBorders>
              <w:top w:val="single" w:color="auto" w:sz="4" w:space="0"/>
              <w:left w:val="single" w:color="auto" w:sz="12" w:space="0"/>
            </w:tcBorders>
            <w:vAlign w:val="center"/>
          </w:tcPr>
          <w:p>
            <w:pPr>
              <w:widowControl/>
              <w:snapToGrid w:val="0"/>
              <w:spacing w:line="264" w:lineRule="auto"/>
              <w:jc w:val="center"/>
              <w:rPr>
                <w:rFonts w:ascii="黑体" w:hAnsi="宋体" w:eastAsia="黑体" w:cs="宋体"/>
                <w:color w:val="000000" w:themeColor="text1"/>
                <w:sz w:val="24"/>
                <w14:textFill>
                  <w14:solidFill>
                    <w14:schemeClr w14:val="tx1"/>
                  </w14:solidFill>
                </w14:textFill>
              </w:rPr>
            </w:pPr>
            <w:r>
              <w:rPr>
                <w:rFonts w:hint="eastAsia" w:ascii="黑体" w:hAnsi="宋体" w:eastAsia="黑体" w:cs="宋体"/>
                <w:color w:val="000000" w:themeColor="text1"/>
                <w:sz w:val="24"/>
                <w14:textFill>
                  <w14:solidFill>
                    <w14:schemeClr w14:val="tx1"/>
                  </w14:solidFill>
                </w14:textFill>
              </w:rPr>
              <w:t>三</w:t>
            </w:r>
          </w:p>
        </w:tc>
        <w:tc>
          <w:tcPr>
            <w:tcW w:w="8268" w:type="dxa"/>
            <w:gridSpan w:val="4"/>
            <w:tcBorders>
              <w:right w:val="single" w:color="auto" w:sz="12" w:space="0"/>
            </w:tcBorders>
            <w:vAlign w:val="center"/>
          </w:tcPr>
          <w:p>
            <w:pPr>
              <w:widowControl/>
              <w:snapToGrid w:val="0"/>
              <w:spacing w:line="264" w:lineRule="auto"/>
              <w:ind w:left="-78" w:leftChars="-37" w:right="-73" w:rightChars="-35" w:firstLine="2420" w:firstLineChars="11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520" w:hRule="atLeast"/>
        </w:trPr>
        <w:tc>
          <w:tcPr>
            <w:tcW w:w="678" w:type="dxa"/>
            <w:tcBorders>
              <w:left w:val="single" w:color="auto" w:sz="12" w:space="0"/>
            </w:tcBorders>
            <w:vAlign w:val="center"/>
          </w:tcPr>
          <w:p>
            <w:pPr>
              <w:snapToGrid w:val="0"/>
              <w:spacing w:line="264"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598" w:type="dxa"/>
            <w:vAlign w:val="center"/>
          </w:tcPr>
          <w:p>
            <w:pPr>
              <w:snapToGrid w:val="0"/>
              <w:spacing w:line="264"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投标报价</w:t>
            </w:r>
          </w:p>
        </w:tc>
        <w:tc>
          <w:tcPr>
            <w:tcW w:w="5110" w:type="dxa"/>
            <w:vAlign w:val="center"/>
          </w:tcPr>
          <w:p>
            <w:pPr>
              <w:snapToGrid w:val="0"/>
              <w:spacing w:line="264" w:lineRule="auto"/>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价格分</w:t>
            </w:r>
            <w:r>
              <w:rPr>
                <w:rFonts w:hint="eastAsia" w:ascii="宋体" w:hAnsi="宋体" w:cs="宋体"/>
                <w:color w:val="000000" w:themeColor="text1"/>
                <w14:textFill>
                  <w14:solidFill>
                    <w14:schemeClr w14:val="tx1"/>
                  </w14:solidFill>
                </w14:textFill>
              </w:rPr>
              <w:t>应当采用低价优先法计算，即满足招标文件要求且投标价格最低的投标报价为评标基准价，其价格分为满分。其他投标人的价格分统一按照下列公式计算：</w:t>
            </w:r>
          </w:p>
          <w:p>
            <w:pPr>
              <w:widowControl/>
              <w:snapToGrid w:val="0"/>
              <w:spacing w:line="264" w:lineRule="auto"/>
              <w:ind w:firstLine="316" w:firstLineChars="150"/>
              <w:rPr>
                <w:rFonts w:ascii="宋体" w:hAnsi="宋体"/>
                <w:bCs/>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投标报价得分=(评标基准价／投标报价)×100×价格权重。</w:t>
            </w:r>
          </w:p>
        </w:tc>
        <w:tc>
          <w:tcPr>
            <w:tcW w:w="709" w:type="dxa"/>
            <w:tcBorders>
              <w:right w:val="single" w:color="auto" w:sz="4" w:space="0"/>
            </w:tcBorders>
            <w:vAlign w:val="center"/>
          </w:tcPr>
          <w:p>
            <w:pPr>
              <w:snapToGrid w:val="0"/>
              <w:spacing w:line="264" w:lineRule="auto"/>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851" w:type="dxa"/>
            <w:tcBorders>
              <w:left w:val="single" w:color="auto" w:sz="4" w:space="0"/>
              <w:right w:val="single" w:color="auto" w:sz="12" w:space="0"/>
            </w:tcBorders>
            <w:vAlign w:val="center"/>
          </w:tcPr>
          <w:p>
            <w:pPr>
              <w:snapToGrid w:val="0"/>
              <w:spacing w:line="264" w:lineRule="auto"/>
              <w:ind w:left="-78" w:leftChars="-37" w:right="-73" w:rightChars="-35"/>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453" w:hRule="atLeast"/>
        </w:trPr>
        <w:tc>
          <w:tcPr>
            <w:tcW w:w="7386" w:type="dxa"/>
            <w:gridSpan w:val="3"/>
            <w:tcBorders>
              <w:left w:val="single" w:color="auto" w:sz="12" w:space="0"/>
              <w:bottom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合计</w:t>
            </w:r>
          </w:p>
        </w:tc>
        <w:tc>
          <w:tcPr>
            <w:tcW w:w="709" w:type="dxa"/>
            <w:tcBorders>
              <w:bottom w:val="single" w:color="auto" w:sz="12" w:space="0"/>
              <w:right w:val="single" w:color="auto" w:sz="4"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100%</w:t>
            </w:r>
            <w:r>
              <w:rPr>
                <w:rFonts w:ascii="宋体" w:hAnsi="宋体" w:cs="宋体"/>
                <w:b/>
                <w:color w:val="000000" w:themeColor="text1"/>
                <w14:textFill>
                  <w14:solidFill>
                    <w14:schemeClr w14:val="tx1"/>
                  </w14:solidFill>
                </w14:textFill>
              </w:rPr>
              <w:t xml:space="preserve"> </w:t>
            </w:r>
          </w:p>
        </w:tc>
        <w:tc>
          <w:tcPr>
            <w:tcW w:w="851" w:type="dxa"/>
            <w:tcBorders>
              <w:left w:val="single" w:color="auto" w:sz="4" w:space="0"/>
              <w:bottom w:val="single" w:color="auto" w:sz="12" w:space="0"/>
              <w:right w:val="single" w:color="auto" w:sz="12" w:space="0"/>
            </w:tcBorders>
            <w:vAlign w:val="center"/>
          </w:tcPr>
          <w:p>
            <w:pPr>
              <w:snapToGrid w:val="0"/>
              <w:spacing w:line="264" w:lineRule="auto"/>
              <w:ind w:left="-78" w:leftChars="-37" w:right="-73" w:rightChars="-35"/>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100分</w:t>
            </w:r>
          </w:p>
        </w:tc>
      </w:tr>
    </w:tbl>
    <w:p>
      <w:pPr>
        <w:rPr>
          <w:color w:val="000000" w:themeColor="text1"/>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A86779"/>
    <w:rsid w:val="001900F4"/>
    <w:rsid w:val="009C01E6"/>
    <w:rsid w:val="00D324A6"/>
    <w:rsid w:val="07B42523"/>
    <w:rsid w:val="09322FB5"/>
    <w:rsid w:val="0BED0F1A"/>
    <w:rsid w:val="0D374234"/>
    <w:rsid w:val="0DCB36E5"/>
    <w:rsid w:val="105273AC"/>
    <w:rsid w:val="11615D9A"/>
    <w:rsid w:val="13A86779"/>
    <w:rsid w:val="17BA32ED"/>
    <w:rsid w:val="1AE45998"/>
    <w:rsid w:val="1F1A4EF4"/>
    <w:rsid w:val="23CC598D"/>
    <w:rsid w:val="25C30B01"/>
    <w:rsid w:val="26222A03"/>
    <w:rsid w:val="2F4178C0"/>
    <w:rsid w:val="315D3463"/>
    <w:rsid w:val="31937B20"/>
    <w:rsid w:val="327872BB"/>
    <w:rsid w:val="3796531E"/>
    <w:rsid w:val="3BDC387E"/>
    <w:rsid w:val="3E2442CB"/>
    <w:rsid w:val="43800224"/>
    <w:rsid w:val="44E96BFE"/>
    <w:rsid w:val="49D52979"/>
    <w:rsid w:val="4B577D0E"/>
    <w:rsid w:val="51652EBF"/>
    <w:rsid w:val="5A245037"/>
    <w:rsid w:val="5C741B35"/>
    <w:rsid w:val="617311B6"/>
    <w:rsid w:val="62D17124"/>
    <w:rsid w:val="69C92C3E"/>
    <w:rsid w:val="6E4D2ECF"/>
    <w:rsid w:val="72454816"/>
    <w:rsid w:val="74D03032"/>
    <w:rsid w:val="77941691"/>
    <w:rsid w:val="79613426"/>
    <w:rsid w:val="7A9456C6"/>
    <w:rsid w:val="7C36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rFonts w:ascii="ˎ̥" w:hAnsi="ˎ̥"/>
      <w:color w:val="000000"/>
      <w:kern w:val="0"/>
      <w:sz w:val="24"/>
      <w:szCs w:val="20"/>
    </w:rPr>
  </w:style>
  <w:style w:type="paragraph" w:styleId="3">
    <w:name w:val="annotation text"/>
    <w:basedOn w:val="1"/>
    <w:qFormat/>
    <w:uiPriority w:val="0"/>
    <w:pPr>
      <w:autoSpaceDE w:val="0"/>
      <w:autoSpaceDN w:val="0"/>
      <w:jc w:val="left"/>
    </w:pPr>
    <w:rPr>
      <w:rFonts w:ascii="宋体" w:hAnsi="宋体" w:eastAsia="宋体" w:cs="宋体"/>
      <w:kern w:val="0"/>
      <w:sz w:val="22"/>
      <w:szCs w:val="22"/>
      <w:lang w:val="zh-CN" w:bidi="zh-CN"/>
    </w:rPr>
  </w:style>
  <w:style w:type="paragraph" w:customStyle="1" w:styleId="6">
    <w:name w:val="列出段落1"/>
    <w:basedOn w:val="1"/>
    <w:qFormat/>
    <w:uiPriority w:val="34"/>
    <w:pPr>
      <w:ind w:firstLine="420" w:firstLineChars="200"/>
    </w:pPr>
    <w:rPr>
      <w:rFonts w:ascii="Times New Roman" w:hAnsi="Times New Roman" w:eastAsia="黑体" w:cs="Times New Roman"/>
      <w:bCs/>
      <w:sz w:val="30"/>
      <w:szCs w:val="30"/>
    </w:rPr>
  </w:style>
  <w:style w:type="paragraph" w:customStyle="1" w:styleId="7">
    <w:name w:val="Table Paragraph"/>
    <w:basedOn w:val="1"/>
    <w:qFormat/>
    <w:uiPriority w:val="1"/>
    <w:pPr>
      <w:autoSpaceDE w:val="0"/>
      <w:autoSpaceDN w:val="0"/>
      <w:adjustRightInd w:val="0"/>
      <w:jc w:val="left"/>
    </w:pPr>
    <w:rPr>
      <w:rFonts w:ascii="仿宋_GB2312" w:hAnsi="仿宋_GB2312" w:eastAsia="仿宋_GB2312" w:cs="仿宋_GB2312"/>
      <w:kern w:val="0"/>
      <w:sz w:val="20"/>
      <w:szCs w:val="20"/>
      <w:lang w:val="zh-CN" w:bidi="zh-CN"/>
    </w:rPr>
  </w:style>
  <w:style w:type="character" w:customStyle="1" w:styleId="8">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区卫生和计划生育局</Company>
  <Pages>3</Pages>
  <Words>358</Words>
  <Characters>2045</Characters>
  <Lines>17</Lines>
  <Paragraphs>4</Paragraphs>
  <TotalTime>0</TotalTime>
  <ScaleCrop>false</ScaleCrop>
  <LinksUpToDate>false</LinksUpToDate>
  <CharactersWithSpaces>2399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2023-07-06T01:47:00Z</dcterms:created>
  <dc:creator>Administrator</dc:creator>
  <cp:lastModifiedBy>Administrator</cp:lastModifiedBy>
  <dcterms:modified xsi:type="dcterms:W3CDTF">2023-07-19T11:50:53Z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