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156" w:afterLines="50" w:line="360" w:lineRule="auto"/>
        <w:jc w:val="center"/>
        <w:outlineLvl w:val="2"/>
        <w:rPr>
          <w:rFonts w:ascii="黑体" w:hAnsi="宋体" w:eastAsia="黑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综合评分表</w:t>
      </w:r>
    </w:p>
    <w:tbl>
      <w:tblPr>
        <w:tblStyle w:val="5"/>
        <w:tblW w:w="8946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678"/>
        <w:gridCol w:w="991"/>
        <w:gridCol w:w="281"/>
        <w:gridCol w:w="5436"/>
        <w:gridCol w:w="95"/>
        <w:gridCol w:w="614"/>
        <w:gridCol w:w="121"/>
        <w:gridCol w:w="7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15" w:hRule="atLeast"/>
        </w:trPr>
        <w:tc>
          <w:tcPr>
            <w:tcW w:w="67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91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评审因素</w:t>
            </w:r>
          </w:p>
        </w:tc>
        <w:tc>
          <w:tcPr>
            <w:tcW w:w="581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 w:firstLine="2319" w:firstLineChars="1100"/>
              <w:jc w:val="both"/>
              <w:rPr>
                <w:rFonts w:ascii="宋体" w:hAnsi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评分细则</w:t>
            </w:r>
          </w:p>
        </w:tc>
        <w:tc>
          <w:tcPr>
            <w:tcW w:w="735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权重（%）</w:t>
            </w:r>
          </w:p>
        </w:tc>
        <w:tc>
          <w:tcPr>
            <w:tcW w:w="73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分值（分）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83" w:hRule="atLeast"/>
        </w:trPr>
        <w:tc>
          <w:tcPr>
            <w:tcW w:w="678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rPr>
                <w:rFonts w:ascii="黑体" w:hAnsi="宋体" w:eastAsia="黑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8268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rPr>
                <w:rFonts w:ascii="黑体" w:hAnsi="宋体" w:eastAsia="黑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技术部分(合计</w:t>
            </w:r>
            <w:r>
              <w:rPr>
                <w:rFonts w:hint="eastAsia" w:ascii="黑体" w:hAnsi="宋体" w:eastAsia="黑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  <w:r>
              <w:rPr>
                <w:rFonts w:hint="eastAsia" w:ascii="黑体" w:hAnsi="宋体" w:eastAsia="黑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61" w:hRule="atLeast"/>
        </w:trPr>
        <w:tc>
          <w:tcPr>
            <w:tcW w:w="678" w:type="dxa"/>
            <w:tcBorders>
              <w:left w:val="single" w:color="auto" w:sz="12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napToGrid w:val="0"/>
              <w:spacing w:line="264" w:lineRule="auto"/>
              <w:ind w:left="2662" w:firstLineChars="0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服务器端防护系统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技术指标响应情况</w:t>
            </w:r>
          </w:p>
        </w:tc>
        <w:tc>
          <w:tcPr>
            <w:tcW w:w="5812" w:type="dxa"/>
            <w:gridSpan w:val="3"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264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不少于40个服务器终端授权（含windows与Linux系统）；</w:t>
            </w:r>
          </w:p>
          <w:p>
            <w:pPr>
              <w:numPr>
                <w:ilvl w:val="0"/>
                <w:numId w:val="2"/>
              </w:numPr>
              <w:snapToGrid w:val="0"/>
              <w:spacing w:line="264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支持轻代理模式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客户端支持Windows、RHEL、CentOS、Oracle Linux、SUSE、Ubuntu、Debian等操作系统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支持轻代理Agent自动推送部署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numPr>
                <w:ilvl w:val="0"/>
                <w:numId w:val="2"/>
              </w:numPr>
              <w:snapToGrid w:val="0"/>
              <w:spacing w:line="264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支持通过网络掩码或 IP 范围查找未安装客户端的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终端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，并且将发现的IP解析为主机名方便管理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numPr>
                <w:ilvl w:val="0"/>
                <w:numId w:val="2"/>
              </w:numPr>
              <w:snapToGrid w:val="0"/>
              <w:spacing w:line="264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支持通过行为监控的方式，如检测可疑活动和未经授权的更改，防止勒索软件感染，并提供针对勒索软件事件专有历史纪录和勒索软件统计的监控组件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numPr>
                <w:ilvl w:val="0"/>
                <w:numId w:val="2"/>
              </w:numPr>
              <w:snapToGrid w:val="0"/>
              <w:spacing w:line="264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支持挖矿行为监控及告警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numPr>
                <w:ilvl w:val="0"/>
                <w:numId w:val="2"/>
              </w:numPr>
              <w:snapToGrid w:val="0"/>
              <w:spacing w:line="264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提供多种病毒的处理措施：包括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不限于清除、删除、拒绝访问、隔离、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添加白名单、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不处理等，并针对不同的恶意软件类型，定制处理措施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numPr>
                <w:ilvl w:val="0"/>
                <w:numId w:val="2"/>
              </w:numPr>
              <w:snapToGrid w:val="0"/>
              <w:spacing w:line="264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具备web信誉库，通过Web信誉支持阻止主机访问恶意站点，支持恶意站点自定义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numPr>
                <w:ilvl w:val="0"/>
                <w:numId w:val="2"/>
              </w:numPr>
              <w:snapToGrid w:val="0"/>
              <w:spacing w:line="264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支持分时段防护能力，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支持根据不同时间段，执行不同的病毒防护策略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numPr>
                <w:ilvl w:val="0"/>
                <w:numId w:val="2"/>
              </w:numPr>
              <w:snapToGrid w:val="0"/>
              <w:spacing w:line="264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管理员可以通过控制台获取debug日志，包括系统信息，运行状态，驱动日志等状态信息导出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numPr>
                <w:ilvl w:val="0"/>
                <w:numId w:val="2"/>
              </w:numPr>
              <w:snapToGrid w:val="0"/>
              <w:spacing w:line="264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支持记录包括管理员、审计员、系统等所有审计日志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numPr>
                <w:ilvl w:val="0"/>
                <w:numId w:val="2"/>
              </w:numPr>
              <w:snapToGrid w:val="0"/>
              <w:spacing w:line="264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产品应提供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各种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报表模板，覆盖所有功能，包括数量排名、图形展示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支持定义报表保密级别，包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括但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不限于绝密、机密、保密、非机密等，支持对生成报表加密</w:t>
            </w:r>
          </w:p>
          <w:p>
            <w:pPr>
              <w:numPr>
                <w:ilvl w:val="0"/>
                <w:numId w:val="0"/>
              </w:numPr>
              <w:snapToGrid w:val="0"/>
              <w:spacing w:line="264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以上功能均需要提供证明截图并加盖原厂公章。如不满足第1点，则该项不得分。满足第1点的情况下，第2点至第11点，每满足一项得2分，最多累计得20分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3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61" w:hRule="atLeast"/>
        </w:trPr>
        <w:tc>
          <w:tcPr>
            <w:tcW w:w="678" w:type="dxa"/>
            <w:tcBorders>
              <w:left w:val="single" w:color="auto" w:sz="12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napToGrid w:val="0"/>
              <w:spacing w:line="264" w:lineRule="auto"/>
              <w:ind w:left="2662" w:firstLineChars="0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客户机防病毒产品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技术指标响应情况</w:t>
            </w:r>
          </w:p>
        </w:tc>
        <w:tc>
          <w:tcPr>
            <w:tcW w:w="5812" w:type="dxa"/>
            <w:gridSpan w:val="3"/>
            <w:vAlign w:val="center"/>
          </w:tcPr>
          <w:p>
            <w:pPr>
              <w:numPr>
                <w:ilvl w:val="0"/>
                <w:numId w:val="3"/>
              </w:numPr>
              <w:snapToGrid w:val="0"/>
              <w:spacing w:line="264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不少于500个客户终端授权；</w:t>
            </w:r>
          </w:p>
          <w:p>
            <w:pPr>
              <w:numPr>
                <w:ilvl w:val="0"/>
                <w:numId w:val="3"/>
              </w:numPr>
              <w:snapToGrid w:val="0"/>
              <w:spacing w:line="264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产品采用B/S架构，支持通过HTTPS方式登录管理控制台，管理控制台访问需进行加密访问；</w:t>
            </w:r>
          </w:p>
          <w:p>
            <w:pPr>
              <w:numPr>
                <w:ilvl w:val="0"/>
                <w:numId w:val="3"/>
              </w:numPr>
              <w:snapToGrid w:val="0"/>
              <w:spacing w:line="264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支持市面上常见windows系统操作版本如windows XP\windows 7\windows 8\windows 10\windows 11、windows server 2008\windows server 2008 r2\windows server 2012\windows server 2012 r2等；</w:t>
            </w:r>
          </w:p>
          <w:p>
            <w:pPr>
              <w:numPr>
                <w:ilvl w:val="0"/>
                <w:numId w:val="3"/>
              </w:numPr>
              <w:snapToGrid w:val="0"/>
              <w:spacing w:line="264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支持对USB存储设备、光驱、网络驱动器的使用权限进行控制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numPr>
                <w:ilvl w:val="0"/>
                <w:numId w:val="3"/>
              </w:numPr>
              <w:snapToGrid w:val="0"/>
              <w:spacing w:line="264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支持对终端的特定端口做使用限制，如445端口；</w:t>
            </w:r>
          </w:p>
          <w:p>
            <w:pPr>
              <w:numPr>
                <w:ilvl w:val="0"/>
                <w:numId w:val="3"/>
              </w:numPr>
              <w:snapToGrid w:val="0"/>
              <w:spacing w:line="264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为适应配置低的终端需求，不影响生产办公，终端在进行手动以及预设扫描时必须可以设置扫描时CPU占用比例，分高、中、低三个级别。低消耗下不得超过CPU使用率的20%；</w:t>
            </w:r>
          </w:p>
          <w:p>
            <w:pPr>
              <w:numPr>
                <w:ilvl w:val="0"/>
                <w:numId w:val="3"/>
              </w:numPr>
              <w:snapToGrid w:val="0"/>
              <w:spacing w:line="264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产品需提供多种扫描引擎，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能够实时监控并清除来自各种途径的病毒、木马、蠕虫、恶意软件、勒索软件、黑客工具等恶意威胁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具备机器学习能力，针对于机器学习必须使用独立扫描引擎，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所有防毒引擎必须为自主知识产品非OEM产品；</w:t>
            </w:r>
          </w:p>
          <w:p>
            <w:pPr>
              <w:numPr>
                <w:ilvl w:val="0"/>
                <w:numId w:val="3"/>
              </w:numPr>
              <w:snapToGrid w:val="0"/>
              <w:spacing w:line="264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扫描策略必须包含清除、隔离、删除处理措施，同时还应具备对病毒/恶意软件的不予处理（锁定）、监控、更名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添加白名单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等措施，以保证对于文件多种处理的可选择性；</w:t>
            </w:r>
          </w:p>
          <w:p>
            <w:pPr>
              <w:numPr>
                <w:ilvl w:val="0"/>
                <w:numId w:val="3"/>
              </w:numPr>
              <w:snapToGrid w:val="0"/>
              <w:spacing w:line="264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支持多种安装方式，至少包括下载安装、MSI程序打包安装、共享安装、Web安装、脚本登录安装和域组策略安装，支持通过管理控制台方式进行远程安装，支持通过WEB方式进行远程安装；</w:t>
            </w:r>
          </w:p>
          <w:p>
            <w:pPr>
              <w:numPr>
                <w:ilvl w:val="0"/>
                <w:numId w:val="3"/>
              </w:numPr>
              <w:snapToGrid w:val="0"/>
              <w:spacing w:line="264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具备病毒爆发防御功能。当最新病毒爆发时，可在病毒代码未完成之前自动对企业网络中的病毒传播端口、共享等进行关闭，切断病毒传播途径，预防最新病毒的攻击；</w:t>
            </w:r>
          </w:p>
          <w:p>
            <w:pPr>
              <w:numPr>
                <w:ilvl w:val="0"/>
                <w:numId w:val="3"/>
              </w:numPr>
              <w:snapToGrid w:val="0"/>
              <w:spacing w:line="264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具备防勒索软件防护功能，支持通过行为监控的方式，检测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并阻止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可疑活动和未经授权的更改，防止勒索软件感染，并提供针对勒索软件事件专有历史纪录和勒索软件统计的监控组件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numPr>
                <w:ilvl w:val="0"/>
                <w:numId w:val="3"/>
              </w:numPr>
              <w:snapToGrid w:val="0"/>
              <w:spacing w:line="264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具备Web信誉评估功能，包含HTTPS通信扫描，结合云安全架构自动识别并屏蔽恶意站点，阻止病毒自动更新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numPr>
                <w:ilvl w:val="0"/>
                <w:numId w:val="3"/>
              </w:numPr>
              <w:snapToGrid w:val="0"/>
              <w:spacing w:line="264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支持客户端自我保护，防止本地卸载、停止或以其他方式修改客户端。</w:t>
            </w:r>
          </w:p>
          <w:p>
            <w:pPr>
              <w:numPr>
                <w:ilvl w:val="0"/>
                <w:numId w:val="0"/>
              </w:numPr>
              <w:snapToGrid w:val="0"/>
              <w:spacing w:line="264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以上功能均需要提供证明截图并加盖原厂公章。如不满足第1点，则该项不得分。满足第1点的情况下，第2点至第13点，每满足一项得2分，最多累计得24分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3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61" w:hRule="atLeast"/>
        </w:trPr>
        <w:tc>
          <w:tcPr>
            <w:tcW w:w="678" w:type="dxa"/>
            <w:tcBorders>
              <w:left w:val="single" w:color="auto" w:sz="12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napToGrid w:val="0"/>
              <w:spacing w:line="264" w:lineRule="auto"/>
              <w:ind w:left="2662" w:firstLineChars="0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产品资质</w:t>
            </w:r>
          </w:p>
        </w:tc>
        <w:tc>
          <w:tcPr>
            <w:tcW w:w="5812" w:type="dxa"/>
            <w:gridSpan w:val="3"/>
            <w:vAlign w:val="center"/>
          </w:tcPr>
          <w:p>
            <w:pPr>
              <w:snapToGrid w:val="0"/>
              <w:spacing w:line="264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服务器端：</w:t>
            </w:r>
          </w:p>
          <w:p>
            <w:pPr>
              <w:numPr>
                <w:ilvl w:val="0"/>
                <w:numId w:val="4"/>
              </w:numPr>
              <w:snapToGrid w:val="0"/>
              <w:spacing w:line="264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产品必须和VMware Operation Manager集成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numPr>
                <w:ilvl w:val="0"/>
                <w:numId w:val="4"/>
              </w:numPr>
              <w:snapToGrid w:val="0"/>
              <w:spacing w:line="264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产品具有虚拟化安全防护（增强级）销售许可证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numPr>
                <w:ilvl w:val="0"/>
                <w:numId w:val="4"/>
              </w:numPr>
              <w:snapToGrid w:val="0"/>
              <w:spacing w:line="264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产品具备VMware Ready认证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numPr>
                <w:ilvl w:val="0"/>
                <w:numId w:val="4"/>
              </w:numPr>
              <w:snapToGrid w:val="0"/>
              <w:spacing w:line="264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具备赛可达认证</w:t>
            </w:r>
          </w:p>
          <w:p>
            <w:pPr>
              <w:snapToGrid w:val="0"/>
              <w:spacing w:line="264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客户端：</w:t>
            </w:r>
          </w:p>
          <w:p>
            <w:pPr>
              <w:numPr>
                <w:ilvl w:val="0"/>
                <w:numId w:val="5"/>
              </w:numPr>
              <w:snapToGrid w:val="0"/>
              <w:spacing w:line="264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产品具有公安部颁发的《计算机信息系统安全专用产品销售许可证》网络版防病毒产品（一级品）证书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numPr>
                <w:ilvl w:val="0"/>
                <w:numId w:val="5"/>
              </w:numPr>
              <w:snapToGrid w:val="0"/>
              <w:spacing w:line="264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提供第三方权威机构的产品测试报告，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不少于两份，报告中提供检测率或查杀率数据；</w:t>
            </w:r>
          </w:p>
          <w:p>
            <w:pPr>
              <w:numPr>
                <w:ilvl w:val="0"/>
                <w:numId w:val="5"/>
              </w:numPr>
              <w:snapToGrid w:val="0"/>
              <w:spacing w:line="264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产品具有软件产品的软件著作权，并提供相关的《计算机软件著作权登记证书》资质证书；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以上需要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提供证明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复印件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并加盖原厂公章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每提供一项得2分，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最多累计得14分，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不提供不得分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注：如代理商参与投标的：必须具备原厂金牌或金牌以上级别代理授权资质，且公司至少有一名工程师具备原厂技术认证（提供社保缴纳时长不少于六个月的证明复印件并附带公司盖章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,社保缴纳单位必须为人员实际所在单位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），否则该项不得分。</w:t>
            </w:r>
          </w:p>
        </w:tc>
        <w:tc>
          <w:tcPr>
            <w:tcW w:w="73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77" w:hRule="atLeast"/>
        </w:trPr>
        <w:tc>
          <w:tcPr>
            <w:tcW w:w="678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rPr>
                <w:rFonts w:ascii="黑体" w:hAnsi="宋体" w:eastAsia="黑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8268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firstLine="2310" w:firstLineChars="1100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商务部分(合计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61" w:hRule="atLeast"/>
        </w:trPr>
        <w:tc>
          <w:tcPr>
            <w:tcW w:w="678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6"/>
              </w:numPr>
              <w:tabs>
                <w:tab w:val="clear" w:pos="420"/>
              </w:tabs>
              <w:snapToGrid w:val="0"/>
              <w:spacing w:line="264" w:lineRule="auto"/>
              <w:ind w:left="2662" w:firstLineChars="0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napToGrid w:val="0"/>
              <w:spacing w:line="264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同类项目业绩</w:t>
            </w:r>
          </w:p>
        </w:tc>
        <w:tc>
          <w:tcPr>
            <w:tcW w:w="5436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根据供应商2020年度至今的合同，每提供一项得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分，最高得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不提供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不得分。</w:t>
            </w:r>
          </w:p>
          <w:p>
            <w:pPr>
              <w:snapToGrid w:val="0"/>
              <w:spacing w:line="264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需要提供合同复印件并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加盖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公章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0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06" w:hRule="atLeast"/>
        </w:trPr>
        <w:tc>
          <w:tcPr>
            <w:tcW w:w="678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6"/>
              </w:numPr>
              <w:tabs>
                <w:tab w:val="clear" w:pos="420"/>
              </w:tabs>
              <w:snapToGrid w:val="0"/>
              <w:spacing w:line="264" w:lineRule="auto"/>
              <w:ind w:left="2662" w:firstLineChars="0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认证</w:t>
            </w:r>
          </w:p>
        </w:tc>
        <w:tc>
          <w:tcPr>
            <w:tcW w:w="5436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投标人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所在企业拥有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等级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证书: </w:t>
            </w:r>
          </w:p>
          <w:p>
            <w:pPr>
              <w:snapToGrid w:val="0"/>
              <w:spacing w:line="264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软件能力成熟度模型集成等级CMMI5证书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napToGrid w:val="0"/>
              <w:spacing w:line="264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国家信息安全漏洞库（CNNVD）技术支撑单位（三级）以上证书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napToGrid w:val="0"/>
              <w:spacing w:line="264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CCID信息系统服务交付能力等级证书（一级五星）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napToGrid w:val="0"/>
              <w:spacing w:line="264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CCIA信息系统业务安全服务资质-政府行业一级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napToGrid w:val="0"/>
              <w:spacing w:line="264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每提供1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分，最高得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不提供不得分。</w:t>
            </w:r>
          </w:p>
          <w:p>
            <w:pPr>
              <w:snapToGrid w:val="0"/>
              <w:spacing w:line="264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以上均需要提供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证明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复印件并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加盖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公章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0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301" w:hRule="atLeast"/>
        </w:trPr>
        <w:tc>
          <w:tcPr>
            <w:tcW w:w="678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6"/>
              </w:numPr>
              <w:tabs>
                <w:tab w:val="clear" w:pos="420"/>
              </w:tabs>
              <w:snapToGrid w:val="0"/>
              <w:spacing w:line="264" w:lineRule="auto"/>
              <w:ind w:left="2662" w:firstLineChars="0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napToGrid w:val="0"/>
              <w:spacing w:line="264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业务承诺</w:t>
            </w:r>
          </w:p>
        </w:tc>
        <w:tc>
          <w:tcPr>
            <w:tcW w:w="5436" w:type="dxa"/>
            <w:vAlign w:val="center"/>
          </w:tcPr>
          <w:p>
            <w:pPr>
              <w:numPr>
                <w:ilvl w:val="0"/>
                <w:numId w:val="7"/>
              </w:numPr>
              <w:snapToGrid w:val="0"/>
              <w:spacing w:line="264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投标人承诺如中标，于合同签订7天内完成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原有版本防病毒软件的所有服务器终端、客户终端的升级、替换工作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，并确保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现有业务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系统的业务稳定性和服务连续性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numPr>
                <w:ilvl w:val="0"/>
                <w:numId w:val="7"/>
              </w:numPr>
              <w:snapToGrid w:val="0"/>
              <w:spacing w:line="264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提供3年原厂商软件升级服务、在线支持服务、800电话支持服务，并提供原厂售后服务。</w:t>
            </w:r>
          </w:p>
          <w:p>
            <w:pPr>
              <w:numPr>
                <w:ilvl w:val="0"/>
                <w:numId w:val="7"/>
              </w:numPr>
              <w:snapToGrid w:val="0"/>
              <w:spacing w:line="264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每季度不少于一次巡检，且提供详细的巡检报告。</w:t>
            </w:r>
          </w:p>
          <w:p>
            <w:pPr>
              <w:snapToGrid w:val="0"/>
              <w:spacing w:line="264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满足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第1点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满足第2点得4分，满足第3点得4分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共累计得1</w:t>
            </w: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  <w:p>
            <w:pPr>
              <w:snapToGrid w:val="0"/>
              <w:spacing w:line="264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以上3点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投标人需要出具承诺函加盖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公章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不提供不得分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0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33" w:hRule="atLeast"/>
        </w:trPr>
        <w:tc>
          <w:tcPr>
            <w:tcW w:w="678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rPr>
                <w:rFonts w:ascii="黑体" w:hAnsi="宋体" w:eastAsia="黑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8268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firstLine="2310" w:firstLineChars="1100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价格部分（合计10分）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20" w:hRule="atLeast"/>
        </w:trPr>
        <w:tc>
          <w:tcPr>
            <w:tcW w:w="678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snapToGrid w:val="0"/>
              <w:spacing w:line="264" w:lineRule="auto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投标报价</w:t>
            </w:r>
          </w:p>
        </w:tc>
        <w:tc>
          <w:tcPr>
            <w:tcW w:w="5436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价格分应当采用低价优先法计算，即满足招标文件要求且投标价格最低的投标报价为评标基准价，其价格分为满分。其他投标人的价格分统一按照下列公式计算：</w:t>
            </w:r>
          </w:p>
          <w:p>
            <w:pPr>
              <w:snapToGrid w:val="0"/>
              <w:spacing w:line="264" w:lineRule="auto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投标报价得分=(评标基准价／投标报价)×100×价格权重。</w:t>
            </w:r>
          </w:p>
        </w:tc>
        <w:tc>
          <w:tcPr>
            <w:tcW w:w="70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53" w:hRule="atLeast"/>
        </w:trPr>
        <w:tc>
          <w:tcPr>
            <w:tcW w:w="7386" w:type="dxa"/>
            <w:gridSpan w:val="4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709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100%</w:t>
            </w:r>
            <w:r>
              <w:rPr>
                <w:rFonts w:ascii="宋体" w:hAnsi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100分</w:t>
            </w:r>
          </w:p>
        </w:tc>
      </w:tr>
    </w:tbl>
    <w:p>
      <w:pPr>
        <w:rPr>
          <w:rFonts w:hint="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注：招标人有权要求中标单位提供产品进行相关功能验证，如存在虚假应标行为，将废除中标资格，并依法追究相关法律责任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华文中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A1C36"/>
    <w:multiLevelType w:val="multilevel"/>
    <w:tmpl w:val="4BDA1C36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4A7C825"/>
    <w:multiLevelType w:val="singleLevel"/>
    <w:tmpl w:val="64A7C82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4A7C851"/>
    <w:multiLevelType w:val="singleLevel"/>
    <w:tmpl w:val="64A7C85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4A7CB06"/>
    <w:multiLevelType w:val="singleLevel"/>
    <w:tmpl w:val="64A7CB06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4A7CB2F"/>
    <w:multiLevelType w:val="singleLevel"/>
    <w:tmpl w:val="64A7CB2F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64A7D5C1"/>
    <w:multiLevelType w:val="singleLevel"/>
    <w:tmpl w:val="64A7D5C1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74F7702C"/>
    <w:multiLevelType w:val="multilevel"/>
    <w:tmpl w:val="74F7702C"/>
    <w:lvl w:ilvl="0" w:tentative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900F4"/>
    <w:rsid w:val="009C01E6"/>
    <w:rsid w:val="00D324A6"/>
    <w:rsid w:val="0131320B"/>
    <w:rsid w:val="04AB4315"/>
    <w:rsid w:val="04CD7942"/>
    <w:rsid w:val="08013931"/>
    <w:rsid w:val="09322FB5"/>
    <w:rsid w:val="09DA66E8"/>
    <w:rsid w:val="0B7B79E6"/>
    <w:rsid w:val="0DCB36E5"/>
    <w:rsid w:val="105273AC"/>
    <w:rsid w:val="11615D9A"/>
    <w:rsid w:val="119D4779"/>
    <w:rsid w:val="13A86779"/>
    <w:rsid w:val="1A95794F"/>
    <w:rsid w:val="1BF40112"/>
    <w:rsid w:val="1F160F24"/>
    <w:rsid w:val="1F1A4EF4"/>
    <w:rsid w:val="1F654603"/>
    <w:rsid w:val="1FEA4E86"/>
    <w:rsid w:val="20FF43A4"/>
    <w:rsid w:val="218210FA"/>
    <w:rsid w:val="21C75C56"/>
    <w:rsid w:val="23CC598D"/>
    <w:rsid w:val="25C30B01"/>
    <w:rsid w:val="26222A03"/>
    <w:rsid w:val="2C07178C"/>
    <w:rsid w:val="315D3463"/>
    <w:rsid w:val="378A53AC"/>
    <w:rsid w:val="3796531E"/>
    <w:rsid w:val="392F0EAB"/>
    <w:rsid w:val="3AFF3F44"/>
    <w:rsid w:val="3E2442CB"/>
    <w:rsid w:val="3FBD2019"/>
    <w:rsid w:val="43800224"/>
    <w:rsid w:val="44E96BFE"/>
    <w:rsid w:val="4890001D"/>
    <w:rsid w:val="49D52979"/>
    <w:rsid w:val="4AE25590"/>
    <w:rsid w:val="4B577D0E"/>
    <w:rsid w:val="4E5540C0"/>
    <w:rsid w:val="4EBF02B6"/>
    <w:rsid w:val="51652EBF"/>
    <w:rsid w:val="53F4199B"/>
    <w:rsid w:val="57F2488C"/>
    <w:rsid w:val="5A245037"/>
    <w:rsid w:val="5C741B35"/>
    <w:rsid w:val="5CA07966"/>
    <w:rsid w:val="5CCB5452"/>
    <w:rsid w:val="5F713995"/>
    <w:rsid w:val="617311B6"/>
    <w:rsid w:val="62D17124"/>
    <w:rsid w:val="643D2272"/>
    <w:rsid w:val="644346F8"/>
    <w:rsid w:val="648E43FA"/>
    <w:rsid w:val="651C7E0B"/>
    <w:rsid w:val="67455A38"/>
    <w:rsid w:val="6B16484D"/>
    <w:rsid w:val="6D4E705B"/>
    <w:rsid w:val="6E4D2ECF"/>
    <w:rsid w:val="72454816"/>
    <w:rsid w:val="728C2688"/>
    <w:rsid w:val="74D03032"/>
    <w:rsid w:val="75F10E97"/>
    <w:rsid w:val="77941691"/>
    <w:rsid w:val="79613426"/>
    <w:rsid w:val="7A9456C6"/>
    <w:rsid w:val="7B3E4654"/>
    <w:rsid w:val="7C36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after="120"/>
      <w:jc w:val="left"/>
    </w:pPr>
    <w:rPr>
      <w:rFonts w:ascii="ˎ̥" w:hAnsi="ˎ̥"/>
      <w:color w:val="000000"/>
      <w:kern w:val="0"/>
      <w:sz w:val="24"/>
      <w:szCs w:val="20"/>
    </w:rPr>
  </w:style>
  <w:style w:type="paragraph" w:styleId="3">
    <w:name w:val="annotation text"/>
    <w:basedOn w:val="1"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szCs w:val="22"/>
      <w:lang w:val="zh-CN" w:bidi="zh-CN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黑体" w:cs="Times New Roman"/>
      <w:bCs/>
      <w:sz w:val="30"/>
      <w:szCs w:val="30"/>
    </w:rPr>
  </w:style>
  <w:style w:type="paragraph" w:customStyle="1" w:styleId="7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仿宋_GB2312" w:hAnsi="仿宋_GB2312" w:eastAsia="仿宋_GB2312" w:cs="仿宋_GB2312"/>
      <w:kern w:val="0"/>
      <w:sz w:val="20"/>
      <w:szCs w:val="20"/>
      <w:lang w:val="zh-CN" w:bidi="zh-CN"/>
    </w:rPr>
  </w:style>
  <w:style w:type="character" w:customStyle="1" w:styleId="8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区卫生和计划生育局</Company>
  <Pages>3</Pages>
  <Words>358</Words>
  <Characters>2045</Characters>
  <Lines>17</Lines>
  <Paragraphs>4</Paragraphs>
  <ScaleCrop>false</ScaleCrop>
  <LinksUpToDate>false</LinksUpToDate>
  <CharactersWithSpaces>2399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2023-07-06T01:47:00Z</dcterms:created>
  <dc:creator>Administrator</dc:creator>
  <cp:lastModifiedBy>Administrator</cp:lastModifiedBy>
  <dcterms:modified xsi:type="dcterms:W3CDTF">2023-07-21T10:38:29Z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