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B41F" w14:textId="77777777" w:rsidR="008A2ED0" w:rsidRDefault="00000000">
      <w:pPr>
        <w:pStyle w:val="Default"/>
        <w:spacing w:line="560" w:lineRule="exact"/>
        <w:rPr>
          <w:rFonts w:ascii="仿宋_GB2312" w:eastAsia="仿宋_GB2312" w:hAnsi="仿宋_GB2312" w:cs="仿宋_GB2312"/>
          <w:bCs/>
          <w:sz w:val="44"/>
          <w:szCs w:val="44"/>
        </w:rPr>
      </w:pPr>
      <w:r>
        <w:rPr>
          <w:rFonts w:ascii="仿宋_GB2312" w:eastAsia="仿宋_GB2312" w:hAnsi="仿宋_GB2312" w:cs="仿宋_GB2312" w:hint="eastAsia"/>
          <w:bCs/>
          <w:sz w:val="32"/>
          <w:szCs w:val="32"/>
        </w:rPr>
        <w:t>附件1</w:t>
      </w:r>
    </w:p>
    <w:p w14:paraId="78D9BCE2" w14:textId="77777777" w:rsidR="008A2ED0" w:rsidRDefault="00000000">
      <w:pPr>
        <w:pStyle w:val="Default"/>
        <w:spacing w:line="44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用户需求书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796"/>
        <w:gridCol w:w="7091"/>
      </w:tblGrid>
      <w:tr w:rsidR="008A2ED0" w14:paraId="57B11A0C" w14:textId="77777777">
        <w:trPr>
          <w:trHeight w:val="454"/>
          <w:jc w:val="center"/>
        </w:trPr>
        <w:tc>
          <w:tcPr>
            <w:tcW w:w="9628" w:type="dxa"/>
            <w:gridSpan w:val="3"/>
            <w:vAlign w:val="center"/>
          </w:tcPr>
          <w:p w14:paraId="54303013" w14:textId="77777777" w:rsidR="008A2ED0" w:rsidRDefault="00000000">
            <w:pPr>
              <w:spacing w:line="440" w:lineRule="exact"/>
              <w:rPr>
                <w:rFonts w:ascii="仿宋_GB2312" w:eastAsia="仿宋_GB2312" w:hAnsi="仿宋_GB2312" w:cs="仿宋_GB2312"/>
                <w:sz w:val="32"/>
                <w:szCs w:val="32"/>
              </w:rPr>
            </w:pPr>
            <w:bookmarkStart w:id="0" w:name="_Toc40762370"/>
            <w:bookmarkStart w:id="1" w:name="_Toc50276195"/>
            <w:bookmarkStart w:id="2" w:name="_Toc37331038"/>
            <w:bookmarkStart w:id="3" w:name="_Toc37569519"/>
            <w:bookmarkStart w:id="4" w:name="_Toc101771371"/>
            <w:bookmarkStart w:id="5" w:name="_Toc46308527"/>
            <w:bookmarkStart w:id="6" w:name="_Toc101951257"/>
            <w:bookmarkStart w:id="7" w:name="_Toc50276156"/>
            <w:bookmarkStart w:id="8" w:name="_Toc37331080"/>
            <w:bookmarkStart w:id="9" w:name="_Toc37663391"/>
            <w:bookmarkStart w:id="10" w:name="_Toc98035088"/>
            <w:bookmarkStart w:id="11" w:name="_Toc101775124"/>
            <w:bookmarkStart w:id="12" w:name="_Toc98580292"/>
            <w:bookmarkStart w:id="13" w:name="_Toc98579609"/>
            <w:bookmarkStart w:id="14" w:name="_Toc101843124"/>
            <w:bookmarkStart w:id="15" w:name="_Toc401906926"/>
            <w:bookmarkStart w:id="16" w:name="_Toc37245276"/>
            <w:bookmarkStart w:id="17" w:name="_Toc37581420"/>
            <w:bookmarkStart w:id="18" w:name="_Toc175644388"/>
            <w:bookmarkStart w:id="19" w:name="_Toc46308683"/>
            <w:bookmarkStart w:id="20" w:name="_Toc98579068"/>
            <w:bookmarkStart w:id="21" w:name="_Toc98579010"/>
            <w:r>
              <w:rPr>
                <w:rFonts w:ascii="仿宋_GB2312" w:eastAsia="仿宋_GB2312" w:hAnsi="仿宋_GB2312" w:cs="仿宋_GB2312" w:hint="eastAsia"/>
                <w:sz w:val="32"/>
                <w:szCs w:val="32"/>
              </w:rPr>
              <w:t xml:space="preserve">最高限价：人民币30万元 </w:t>
            </w:r>
          </w:p>
        </w:tc>
      </w:tr>
      <w:tr w:rsidR="008A2ED0" w14:paraId="20691EBD" w14:textId="77777777">
        <w:trPr>
          <w:trHeight w:val="454"/>
          <w:jc w:val="center"/>
        </w:trPr>
        <w:tc>
          <w:tcPr>
            <w:tcW w:w="9628" w:type="dxa"/>
            <w:gridSpan w:val="3"/>
            <w:vAlign w:val="center"/>
          </w:tcPr>
          <w:p w14:paraId="404133B3" w14:textId="77777777" w:rsidR="008A2ED0"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资格要求：</w:t>
            </w:r>
          </w:p>
        </w:tc>
      </w:tr>
      <w:tr w:rsidR="008A2ED0" w14:paraId="2EAA55D5" w14:textId="77777777">
        <w:trPr>
          <w:trHeight w:val="454"/>
          <w:jc w:val="center"/>
        </w:trPr>
        <w:tc>
          <w:tcPr>
            <w:tcW w:w="741" w:type="dxa"/>
            <w:vAlign w:val="center"/>
          </w:tcPr>
          <w:p w14:paraId="7BCD01C9" w14:textId="77777777" w:rsidR="008A2ED0"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8887" w:type="dxa"/>
            <w:gridSpan w:val="2"/>
            <w:vAlign w:val="center"/>
          </w:tcPr>
          <w:p w14:paraId="02CA8704" w14:textId="77777777" w:rsidR="008A2ED0"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符合《政府采购法》第二十二条供应商资格条件</w:t>
            </w:r>
            <w:r>
              <w:rPr>
                <w:rStyle w:val="p141"/>
                <w:rFonts w:ascii="仿宋_GB2312" w:eastAsia="仿宋_GB2312" w:hAnsi="仿宋_GB2312" w:cs="仿宋_GB2312" w:hint="eastAsia"/>
                <w:sz w:val="32"/>
                <w:szCs w:val="32"/>
              </w:rPr>
              <w:t>。</w:t>
            </w:r>
          </w:p>
        </w:tc>
      </w:tr>
      <w:tr w:rsidR="008A2ED0" w14:paraId="1C7695DF" w14:textId="77777777">
        <w:trPr>
          <w:trHeight w:val="454"/>
          <w:jc w:val="center"/>
        </w:trPr>
        <w:tc>
          <w:tcPr>
            <w:tcW w:w="741" w:type="dxa"/>
            <w:vAlign w:val="center"/>
          </w:tcPr>
          <w:p w14:paraId="57AB9AC1" w14:textId="77777777" w:rsidR="008A2ED0"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8887" w:type="dxa"/>
            <w:gridSpan w:val="2"/>
            <w:vAlign w:val="center"/>
          </w:tcPr>
          <w:p w14:paraId="6D5CCECE" w14:textId="77777777" w:rsidR="008A2ED0"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报名人必须为经国家保险监督管理机构批准在中华人民共和国境内设立和营业的，并被核定可在广州市境内依法经营责任保险业务的保险公司或其分支机构（具备《保险许可证》等法定资格证件，复印件加盖公章）；分支机构投标的，必须获得具有独立法人资格的总公司授权；同一保险公司只能授权一家分支机构参加本项目（多于一家授权投标的将同时作无效投标处理）；总公司与分支机构同时参与投标的将同时作无效投标处理。</w:t>
            </w:r>
          </w:p>
        </w:tc>
      </w:tr>
      <w:tr w:rsidR="008A2ED0" w14:paraId="64BDE114" w14:textId="77777777">
        <w:trPr>
          <w:trHeight w:val="454"/>
          <w:jc w:val="center"/>
        </w:trPr>
        <w:tc>
          <w:tcPr>
            <w:tcW w:w="9628" w:type="dxa"/>
            <w:gridSpan w:val="3"/>
            <w:vAlign w:val="center"/>
          </w:tcPr>
          <w:p w14:paraId="0C60482F" w14:textId="77777777" w:rsidR="008A2ED0"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招标范围</w:t>
            </w:r>
          </w:p>
        </w:tc>
      </w:tr>
      <w:tr w:rsidR="008A2ED0" w14:paraId="3362D8F3" w14:textId="77777777">
        <w:trPr>
          <w:trHeight w:val="454"/>
          <w:jc w:val="center"/>
        </w:trPr>
        <w:tc>
          <w:tcPr>
            <w:tcW w:w="741" w:type="dxa"/>
            <w:vAlign w:val="center"/>
          </w:tcPr>
          <w:p w14:paraId="6370AA55" w14:textId="77777777" w:rsidR="008A2ED0"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796" w:type="dxa"/>
            <w:vAlign w:val="center"/>
          </w:tcPr>
          <w:p w14:paraId="7443788F" w14:textId="77777777" w:rsidR="008A2ED0"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采购内容</w:t>
            </w:r>
          </w:p>
        </w:tc>
        <w:tc>
          <w:tcPr>
            <w:tcW w:w="7091" w:type="dxa"/>
            <w:vAlign w:val="center"/>
          </w:tcPr>
          <w:p w14:paraId="5B75058D" w14:textId="77777777" w:rsidR="008A2ED0" w:rsidRDefault="00000000">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确定1家成交供应商，为采购人提供“2024年度医疗责任险、</w:t>
            </w:r>
            <w:r>
              <w:rPr>
                <w:rFonts w:ascii="仿宋_GB2312" w:eastAsia="仿宋_GB2312" w:hAnsi="仿宋_GB2312" w:cs="仿宋_GB2312" w:hint="eastAsia"/>
                <w:color w:val="FF0000"/>
                <w:sz w:val="32"/>
                <w:szCs w:val="32"/>
              </w:rPr>
              <w:t>公众责任保险</w:t>
            </w:r>
            <w:r>
              <w:rPr>
                <w:rFonts w:ascii="仿宋_GB2312" w:eastAsia="仿宋_GB2312" w:hAnsi="仿宋_GB2312" w:cs="仿宋_GB2312" w:hint="eastAsia"/>
                <w:sz w:val="32"/>
                <w:szCs w:val="32"/>
              </w:rPr>
              <w:t>服务”服务。</w:t>
            </w:r>
          </w:p>
        </w:tc>
      </w:tr>
      <w:tr w:rsidR="008A2ED0" w14:paraId="5389FD9D" w14:textId="77777777">
        <w:trPr>
          <w:trHeight w:val="454"/>
          <w:jc w:val="center"/>
        </w:trPr>
        <w:tc>
          <w:tcPr>
            <w:tcW w:w="741" w:type="dxa"/>
            <w:vAlign w:val="center"/>
          </w:tcPr>
          <w:p w14:paraId="7229BD3D" w14:textId="77777777" w:rsidR="008A2ED0"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796" w:type="dxa"/>
            <w:vAlign w:val="center"/>
          </w:tcPr>
          <w:p w14:paraId="464DBAA1" w14:textId="77777777" w:rsidR="008A2ED0" w:rsidRDefault="00000000">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服务期</w:t>
            </w:r>
          </w:p>
        </w:tc>
        <w:tc>
          <w:tcPr>
            <w:tcW w:w="7091" w:type="dxa"/>
            <w:vAlign w:val="center"/>
          </w:tcPr>
          <w:p w14:paraId="2EFD9ADD" w14:textId="77777777" w:rsidR="008A2ED0" w:rsidRDefault="00000000">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自合同签订之日起12个月内</w:t>
            </w:r>
          </w:p>
          <w:p w14:paraId="522AEB19" w14:textId="77777777" w:rsidR="008A2ED0" w:rsidRDefault="00000000">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（重要提示：请报价人充分考虑服务期内物价水平及人员薪金的调整因素。服务期内，本项目服务费不作调整。）</w:t>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6FD36093" w14:textId="77777777" w:rsidR="008A2ED0" w:rsidRDefault="00000000">
      <w:pPr>
        <w:spacing w:beforeLines="200" w:before="624"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一、项目内容</w:t>
      </w:r>
    </w:p>
    <w:p w14:paraId="1B2CE0DD"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本项目确定1家成交供应商，为采购人提供“2024年度医疗责任险、</w:t>
      </w:r>
      <w:r>
        <w:rPr>
          <w:rFonts w:ascii="仿宋_GB2312" w:eastAsia="仿宋_GB2312" w:hAnsi="仿宋_GB2312" w:cs="仿宋_GB2312" w:hint="eastAsia"/>
          <w:color w:val="FF0000"/>
          <w:sz w:val="32"/>
          <w:szCs w:val="32"/>
        </w:rPr>
        <w:t>公众责任保险</w:t>
      </w:r>
      <w:r>
        <w:rPr>
          <w:rFonts w:ascii="仿宋_GB2312" w:eastAsia="仿宋_GB2312" w:hAnsi="仿宋_GB2312" w:cs="仿宋_GB2312" w:hint="eastAsia"/>
          <w:sz w:val="32"/>
          <w:szCs w:val="32"/>
        </w:rPr>
        <w:t>服务”服务。</w:t>
      </w:r>
    </w:p>
    <w:p w14:paraId="23BB42B2" w14:textId="0367194F"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服务对象广州市天河区中医医院为一家二级综合医疗机构。注册/开放床位</w:t>
      </w:r>
      <w:r>
        <w:rPr>
          <w:rFonts w:ascii="仿宋_GB2312" w:eastAsia="仿宋_GB2312" w:hAnsi="仿宋_GB2312" w:cs="仿宋_GB2312" w:hint="eastAsia"/>
          <w:color w:val="0000FF"/>
          <w:sz w:val="32"/>
          <w:szCs w:val="32"/>
        </w:rPr>
        <w:t>155/155</w:t>
      </w:r>
      <w:r>
        <w:rPr>
          <w:rFonts w:ascii="仿宋_GB2312" w:eastAsia="仿宋_GB2312" w:hAnsi="仿宋_GB2312" w:cs="仿宋_GB2312" w:hint="eastAsia"/>
          <w:sz w:val="32"/>
          <w:szCs w:val="32"/>
        </w:rPr>
        <w:t>张；一线医务人员数量</w:t>
      </w:r>
      <w:r w:rsidR="001F1CF0">
        <w:rPr>
          <w:rFonts w:ascii="仿宋_GB2312" w:eastAsia="仿宋_GB2312" w:hAnsi="仿宋_GB2312" w:cs="仿宋_GB2312" w:hint="eastAsia"/>
          <w:color w:val="0000FF"/>
          <w:sz w:val="32"/>
          <w:szCs w:val="32"/>
        </w:rPr>
        <w:t>210</w:t>
      </w:r>
      <w:r>
        <w:rPr>
          <w:rFonts w:ascii="仿宋_GB2312" w:eastAsia="仿宋_GB2312" w:hAnsi="仿宋_GB2312" w:cs="仿宋_GB2312" w:hint="eastAsia"/>
          <w:sz w:val="32"/>
          <w:szCs w:val="32"/>
        </w:rPr>
        <w:t>人；年门诊人数约</w:t>
      </w:r>
      <w:r w:rsidR="001F1CF0">
        <w:rPr>
          <w:rFonts w:ascii="仿宋_GB2312" w:eastAsia="仿宋_GB2312" w:hAnsi="仿宋_GB2312" w:cs="仿宋_GB2312" w:hint="eastAsia"/>
          <w:color w:val="0000FF"/>
          <w:sz w:val="32"/>
          <w:szCs w:val="32"/>
        </w:rPr>
        <w:t>279389</w:t>
      </w:r>
      <w:r>
        <w:rPr>
          <w:rFonts w:ascii="仿宋_GB2312" w:eastAsia="仿宋_GB2312" w:hAnsi="仿宋_GB2312" w:cs="仿宋_GB2312" w:hint="eastAsia"/>
          <w:sz w:val="32"/>
          <w:szCs w:val="32"/>
        </w:rPr>
        <w:t>人／次；年出院病人数量约</w:t>
      </w:r>
      <w:r w:rsidR="001F1CF0">
        <w:rPr>
          <w:rFonts w:ascii="仿宋_GB2312" w:eastAsia="仿宋_GB2312" w:hAnsi="仿宋_GB2312" w:cs="仿宋_GB2312" w:hint="eastAsia"/>
          <w:sz w:val="32"/>
          <w:szCs w:val="32"/>
        </w:rPr>
        <w:t>4006</w:t>
      </w:r>
      <w:r>
        <w:rPr>
          <w:rFonts w:ascii="仿宋_GB2312" w:eastAsia="仿宋_GB2312" w:hAnsi="仿宋_GB2312" w:cs="仿宋_GB2312" w:hint="eastAsia"/>
          <w:sz w:val="32"/>
          <w:szCs w:val="32"/>
        </w:rPr>
        <w:t>人／次：上年度住院手术数：</w:t>
      </w:r>
      <w:r>
        <w:rPr>
          <w:rFonts w:ascii="仿宋_GB2312" w:eastAsia="仿宋_GB2312" w:hAnsi="仿宋_GB2312" w:cs="仿宋_GB2312" w:hint="eastAsia"/>
          <w:color w:val="0000FF"/>
          <w:sz w:val="32"/>
          <w:szCs w:val="32"/>
        </w:rPr>
        <w:t>336</w:t>
      </w:r>
      <w:r>
        <w:rPr>
          <w:rFonts w:ascii="仿宋_GB2312" w:eastAsia="仿宋_GB2312" w:hAnsi="仿宋_GB2312" w:cs="仿宋_GB2312" w:hint="eastAsia"/>
          <w:sz w:val="32"/>
          <w:szCs w:val="32"/>
        </w:rPr>
        <w:t>人。</w:t>
      </w:r>
    </w:p>
    <w:p w14:paraId="61FA7A48"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本项目是购买医疗责任险和公众责任险，医疗</w:t>
      </w:r>
      <w:proofErr w:type="gramStart"/>
      <w:r>
        <w:rPr>
          <w:rFonts w:ascii="仿宋_GB2312" w:eastAsia="仿宋_GB2312" w:hAnsi="仿宋_GB2312" w:cs="仿宋_GB2312" w:hint="eastAsia"/>
          <w:color w:val="FF0000"/>
          <w:sz w:val="32"/>
          <w:szCs w:val="32"/>
        </w:rPr>
        <w:t>责任险由承保</w:t>
      </w:r>
      <w:proofErr w:type="gramEnd"/>
      <w:r>
        <w:rPr>
          <w:rFonts w:ascii="仿宋_GB2312" w:eastAsia="仿宋_GB2312" w:hAnsi="仿宋_GB2312" w:cs="仿宋_GB2312" w:hint="eastAsia"/>
          <w:color w:val="FF0000"/>
          <w:sz w:val="32"/>
          <w:szCs w:val="32"/>
        </w:rPr>
        <w:t>机构承担因采购人医疗护理活动中产生的医疗纠纷或</w:t>
      </w:r>
      <w:r>
        <w:rPr>
          <w:rFonts w:ascii="仿宋_GB2312" w:eastAsia="仿宋_GB2312" w:hAnsi="仿宋_GB2312" w:cs="仿宋_GB2312" w:hint="eastAsia"/>
          <w:color w:val="FF0000"/>
          <w:sz w:val="32"/>
          <w:szCs w:val="32"/>
        </w:rPr>
        <w:lastRenderedPageBreak/>
        <w:t>事故等等的赔偿责任，公众</w:t>
      </w:r>
      <w:proofErr w:type="gramStart"/>
      <w:r>
        <w:rPr>
          <w:rFonts w:ascii="仿宋_GB2312" w:eastAsia="仿宋_GB2312" w:hAnsi="仿宋_GB2312" w:cs="仿宋_GB2312" w:hint="eastAsia"/>
          <w:color w:val="FF0000"/>
          <w:sz w:val="32"/>
          <w:szCs w:val="32"/>
        </w:rPr>
        <w:t>责任险由承保</w:t>
      </w:r>
      <w:proofErr w:type="gramEnd"/>
      <w:r>
        <w:rPr>
          <w:rFonts w:ascii="仿宋_GB2312" w:eastAsia="仿宋_GB2312" w:hAnsi="仿宋_GB2312" w:cs="仿宋_GB2312" w:hint="eastAsia"/>
          <w:color w:val="FF0000"/>
          <w:sz w:val="32"/>
          <w:szCs w:val="32"/>
        </w:rPr>
        <w:t>机构承担在采购人指定场所因经营业务发生意外事故造成第三者的人身伤亡和财产损失等等的赔偿责任。</w:t>
      </w:r>
    </w:p>
    <w:p w14:paraId="61321144"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具体标的信息如下：</w:t>
      </w:r>
    </w:p>
    <w:tbl>
      <w:tblPr>
        <w:tblW w:w="8489" w:type="dxa"/>
        <w:jc w:val="center"/>
        <w:tblBorders>
          <w:top w:val="single" w:sz="12" w:space="0" w:color="333333"/>
          <w:left w:val="single" w:sz="12" w:space="0" w:color="333333"/>
          <w:bottom w:val="single" w:sz="12" w:space="0" w:color="333333"/>
          <w:right w:val="single" w:sz="12" w:space="0" w:color="333333"/>
          <w:insideH w:val="single" w:sz="4" w:space="0" w:color="333333"/>
          <w:insideV w:val="single" w:sz="4" w:space="0" w:color="333333"/>
        </w:tblBorders>
        <w:tblLayout w:type="fixed"/>
        <w:tblCellMar>
          <w:left w:w="0" w:type="dxa"/>
          <w:right w:w="0" w:type="dxa"/>
        </w:tblCellMar>
        <w:tblLook w:val="04A0" w:firstRow="1" w:lastRow="0" w:firstColumn="1" w:lastColumn="0" w:noHBand="0" w:noVBand="1"/>
      </w:tblPr>
      <w:tblGrid>
        <w:gridCol w:w="939"/>
        <w:gridCol w:w="1926"/>
        <w:gridCol w:w="1875"/>
        <w:gridCol w:w="1994"/>
        <w:gridCol w:w="1755"/>
      </w:tblGrid>
      <w:tr w:rsidR="008A2ED0" w14:paraId="6CFD1805" w14:textId="77777777">
        <w:trPr>
          <w:trHeight w:val="559"/>
          <w:jc w:val="center"/>
        </w:trPr>
        <w:tc>
          <w:tcPr>
            <w:tcW w:w="939" w:type="dxa"/>
            <w:tcBorders>
              <w:top w:val="single" w:sz="12" w:space="0" w:color="333333"/>
              <w:left w:val="single" w:sz="12" w:space="0" w:color="333333"/>
              <w:bottom w:val="single" w:sz="4" w:space="0" w:color="333333"/>
              <w:right w:val="single" w:sz="4" w:space="0" w:color="333333"/>
            </w:tcBorders>
            <w:shd w:val="clear" w:color="auto" w:fill="auto"/>
            <w:tcMar>
              <w:top w:w="75" w:type="dxa"/>
              <w:left w:w="120" w:type="dxa"/>
              <w:bottom w:w="75" w:type="dxa"/>
              <w:right w:w="120" w:type="dxa"/>
            </w:tcMar>
            <w:vAlign w:val="center"/>
          </w:tcPr>
          <w:p w14:paraId="58CD5A3C" w14:textId="77777777" w:rsidR="008A2ED0" w:rsidRDefault="00000000">
            <w:pPr>
              <w:widowControl/>
              <w:jc w:val="center"/>
              <w:rPr>
                <w:rFonts w:ascii="仿宋" w:eastAsia="仿宋" w:hAnsi="仿宋" w:cs="仿宋" w:hint="eastAsia"/>
                <w:b/>
                <w:color w:val="FF0000"/>
                <w:sz w:val="32"/>
                <w:szCs w:val="32"/>
              </w:rPr>
            </w:pPr>
            <w:r>
              <w:rPr>
                <w:rFonts w:ascii="仿宋" w:eastAsia="仿宋" w:hAnsi="仿宋" w:cs="仿宋" w:hint="eastAsia"/>
                <w:b/>
                <w:color w:val="FF0000"/>
                <w:sz w:val="32"/>
                <w:szCs w:val="32"/>
                <w:lang w:bidi="ar"/>
              </w:rPr>
              <w:t>序号</w:t>
            </w:r>
          </w:p>
        </w:tc>
        <w:tc>
          <w:tcPr>
            <w:tcW w:w="1926" w:type="dxa"/>
            <w:tcBorders>
              <w:top w:val="single" w:sz="12" w:space="0" w:color="333333"/>
              <w:left w:val="single" w:sz="4" w:space="0" w:color="333333"/>
              <w:bottom w:val="single" w:sz="4" w:space="0" w:color="333333"/>
              <w:right w:val="single" w:sz="4" w:space="0" w:color="333333"/>
            </w:tcBorders>
            <w:shd w:val="clear" w:color="auto" w:fill="auto"/>
            <w:tcMar>
              <w:top w:w="75" w:type="dxa"/>
              <w:left w:w="120" w:type="dxa"/>
              <w:bottom w:w="75" w:type="dxa"/>
              <w:right w:w="120" w:type="dxa"/>
            </w:tcMar>
            <w:vAlign w:val="center"/>
          </w:tcPr>
          <w:p w14:paraId="590B854A" w14:textId="77777777" w:rsidR="008A2ED0" w:rsidRDefault="00000000">
            <w:pPr>
              <w:widowControl/>
              <w:jc w:val="center"/>
              <w:rPr>
                <w:rFonts w:ascii="仿宋" w:eastAsia="仿宋" w:hAnsi="仿宋" w:cs="仿宋" w:hint="eastAsia"/>
                <w:b/>
                <w:color w:val="FF0000"/>
                <w:sz w:val="32"/>
                <w:szCs w:val="32"/>
              </w:rPr>
            </w:pPr>
            <w:r>
              <w:rPr>
                <w:rFonts w:ascii="仿宋" w:eastAsia="仿宋" w:hAnsi="仿宋" w:cs="仿宋" w:hint="eastAsia"/>
                <w:b/>
                <w:color w:val="FF0000"/>
                <w:sz w:val="32"/>
                <w:szCs w:val="32"/>
                <w:lang w:bidi="ar"/>
              </w:rPr>
              <w:t>采购标的</w:t>
            </w:r>
          </w:p>
        </w:tc>
        <w:tc>
          <w:tcPr>
            <w:tcW w:w="1875" w:type="dxa"/>
            <w:tcBorders>
              <w:top w:val="single" w:sz="12" w:space="0" w:color="333333"/>
              <w:left w:val="single" w:sz="4" w:space="0" w:color="333333"/>
              <w:bottom w:val="single" w:sz="4" w:space="0" w:color="333333"/>
              <w:right w:val="single" w:sz="4" w:space="0" w:color="333333"/>
            </w:tcBorders>
            <w:shd w:val="clear" w:color="auto" w:fill="auto"/>
            <w:tcMar>
              <w:top w:w="75" w:type="dxa"/>
              <w:left w:w="120" w:type="dxa"/>
              <w:bottom w:w="75" w:type="dxa"/>
              <w:right w:w="120" w:type="dxa"/>
            </w:tcMar>
            <w:vAlign w:val="center"/>
          </w:tcPr>
          <w:p w14:paraId="2A054B64" w14:textId="77777777" w:rsidR="008A2ED0" w:rsidRDefault="00000000">
            <w:pPr>
              <w:widowControl/>
              <w:jc w:val="center"/>
              <w:rPr>
                <w:rFonts w:ascii="仿宋" w:eastAsia="仿宋" w:hAnsi="仿宋" w:cs="仿宋" w:hint="eastAsia"/>
                <w:b/>
                <w:color w:val="FF0000"/>
                <w:sz w:val="32"/>
                <w:szCs w:val="32"/>
              </w:rPr>
            </w:pPr>
            <w:r>
              <w:rPr>
                <w:rFonts w:ascii="仿宋" w:eastAsia="仿宋" w:hAnsi="仿宋" w:cs="仿宋" w:hint="eastAsia"/>
                <w:b/>
                <w:color w:val="FF0000"/>
                <w:sz w:val="32"/>
                <w:szCs w:val="32"/>
                <w:lang w:bidi="ar"/>
              </w:rPr>
              <w:t>数量（单位）</w:t>
            </w:r>
          </w:p>
        </w:tc>
        <w:tc>
          <w:tcPr>
            <w:tcW w:w="3749" w:type="dxa"/>
            <w:gridSpan w:val="2"/>
            <w:tcBorders>
              <w:top w:val="single" w:sz="12" w:space="0" w:color="333333"/>
              <w:left w:val="single" w:sz="4" w:space="0" w:color="333333"/>
              <w:bottom w:val="single" w:sz="4" w:space="0" w:color="333333"/>
              <w:right w:val="single" w:sz="12" w:space="0" w:color="333333"/>
            </w:tcBorders>
            <w:shd w:val="clear" w:color="auto" w:fill="auto"/>
            <w:tcMar>
              <w:top w:w="75" w:type="dxa"/>
              <w:left w:w="120" w:type="dxa"/>
              <w:bottom w:w="75" w:type="dxa"/>
              <w:right w:w="120" w:type="dxa"/>
            </w:tcMar>
            <w:vAlign w:val="center"/>
          </w:tcPr>
          <w:p w14:paraId="2829F733" w14:textId="77777777" w:rsidR="008A2ED0" w:rsidRDefault="00000000">
            <w:pPr>
              <w:widowControl/>
              <w:jc w:val="center"/>
              <w:rPr>
                <w:rFonts w:ascii="仿宋" w:eastAsia="仿宋" w:hAnsi="仿宋" w:cs="仿宋" w:hint="eastAsia"/>
                <w:b/>
                <w:color w:val="FF0000"/>
                <w:sz w:val="32"/>
                <w:szCs w:val="32"/>
              </w:rPr>
            </w:pPr>
            <w:r>
              <w:rPr>
                <w:rFonts w:ascii="仿宋" w:eastAsia="仿宋" w:hAnsi="仿宋" w:cs="仿宋" w:hint="eastAsia"/>
                <w:b/>
                <w:color w:val="FF0000"/>
                <w:sz w:val="32"/>
                <w:szCs w:val="32"/>
                <w:lang w:bidi="ar"/>
              </w:rPr>
              <w:t>采购预算及最高限价(元)</w:t>
            </w:r>
          </w:p>
        </w:tc>
      </w:tr>
      <w:tr w:rsidR="008A2ED0" w14:paraId="588ED50F" w14:textId="77777777">
        <w:trPr>
          <w:trHeight w:val="600"/>
          <w:jc w:val="center"/>
        </w:trPr>
        <w:tc>
          <w:tcPr>
            <w:tcW w:w="939" w:type="dxa"/>
            <w:tcBorders>
              <w:top w:val="single" w:sz="4" w:space="0" w:color="333333"/>
              <w:left w:val="single" w:sz="12" w:space="0" w:color="333333"/>
              <w:bottom w:val="single" w:sz="4" w:space="0" w:color="333333"/>
              <w:right w:val="single" w:sz="4" w:space="0" w:color="333333"/>
            </w:tcBorders>
            <w:shd w:val="clear" w:color="auto" w:fill="auto"/>
            <w:tcMar>
              <w:top w:w="75" w:type="dxa"/>
              <w:left w:w="120" w:type="dxa"/>
              <w:bottom w:w="75" w:type="dxa"/>
              <w:right w:w="120" w:type="dxa"/>
            </w:tcMar>
            <w:vAlign w:val="center"/>
          </w:tcPr>
          <w:p w14:paraId="448F765F"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1</w:t>
            </w:r>
          </w:p>
        </w:tc>
        <w:tc>
          <w:tcPr>
            <w:tcW w:w="1926" w:type="dxa"/>
            <w:tcBorders>
              <w:top w:val="single" w:sz="4" w:space="0" w:color="333333"/>
              <w:left w:val="single" w:sz="4" w:space="0" w:color="333333"/>
              <w:bottom w:val="single" w:sz="4" w:space="0" w:color="333333"/>
              <w:right w:val="single" w:sz="4" w:space="0" w:color="333333"/>
            </w:tcBorders>
            <w:shd w:val="clear" w:color="auto" w:fill="auto"/>
            <w:tcMar>
              <w:top w:w="75" w:type="dxa"/>
              <w:left w:w="120" w:type="dxa"/>
              <w:bottom w:w="75" w:type="dxa"/>
              <w:right w:w="120" w:type="dxa"/>
            </w:tcMar>
            <w:vAlign w:val="center"/>
          </w:tcPr>
          <w:p w14:paraId="4EBCEC68"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医疗责任险</w:t>
            </w:r>
          </w:p>
        </w:tc>
        <w:tc>
          <w:tcPr>
            <w:tcW w:w="1875" w:type="dxa"/>
            <w:tcBorders>
              <w:top w:val="single" w:sz="4" w:space="0" w:color="333333"/>
              <w:left w:val="single" w:sz="4" w:space="0" w:color="333333"/>
              <w:bottom w:val="single" w:sz="4" w:space="0" w:color="333333"/>
              <w:right w:val="single" w:sz="4" w:space="0" w:color="333333"/>
            </w:tcBorders>
            <w:shd w:val="clear" w:color="auto" w:fill="auto"/>
            <w:tcMar>
              <w:top w:w="75" w:type="dxa"/>
              <w:left w:w="120" w:type="dxa"/>
              <w:bottom w:w="75" w:type="dxa"/>
              <w:right w:w="120" w:type="dxa"/>
            </w:tcMar>
            <w:vAlign w:val="center"/>
          </w:tcPr>
          <w:p w14:paraId="40C64013"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1项</w:t>
            </w:r>
          </w:p>
        </w:tc>
        <w:tc>
          <w:tcPr>
            <w:tcW w:w="1994" w:type="dxa"/>
            <w:tcBorders>
              <w:top w:val="single" w:sz="4" w:space="0" w:color="333333"/>
              <w:left w:val="single" w:sz="4" w:space="0" w:color="333333"/>
              <w:bottom w:val="single" w:sz="4" w:space="0" w:color="333333"/>
              <w:right w:val="single" w:sz="4" w:space="0" w:color="333333"/>
            </w:tcBorders>
            <w:shd w:val="clear" w:color="auto" w:fill="auto"/>
            <w:tcMar>
              <w:top w:w="75" w:type="dxa"/>
              <w:left w:w="120" w:type="dxa"/>
              <w:bottom w:w="75" w:type="dxa"/>
              <w:right w:w="120" w:type="dxa"/>
            </w:tcMar>
            <w:vAlign w:val="center"/>
          </w:tcPr>
          <w:p w14:paraId="10950121"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290000.00</w:t>
            </w:r>
          </w:p>
        </w:tc>
        <w:tc>
          <w:tcPr>
            <w:tcW w:w="1755" w:type="dxa"/>
            <w:vMerge w:val="restart"/>
            <w:tcBorders>
              <w:top w:val="single" w:sz="4" w:space="0" w:color="333333"/>
              <w:left w:val="single" w:sz="4" w:space="0" w:color="333333"/>
              <w:bottom w:val="single" w:sz="4" w:space="0" w:color="333333"/>
              <w:right w:val="single" w:sz="12" w:space="0" w:color="333333"/>
            </w:tcBorders>
            <w:shd w:val="clear" w:color="auto" w:fill="auto"/>
            <w:tcMar>
              <w:top w:w="75" w:type="dxa"/>
              <w:left w:w="120" w:type="dxa"/>
              <w:bottom w:w="75" w:type="dxa"/>
              <w:right w:w="120" w:type="dxa"/>
            </w:tcMar>
            <w:vAlign w:val="center"/>
          </w:tcPr>
          <w:p w14:paraId="3F591BDD"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300000.00</w:t>
            </w:r>
          </w:p>
        </w:tc>
      </w:tr>
      <w:tr w:rsidR="008A2ED0" w14:paraId="378E674E" w14:textId="77777777">
        <w:trPr>
          <w:trHeight w:val="602"/>
          <w:jc w:val="center"/>
        </w:trPr>
        <w:tc>
          <w:tcPr>
            <w:tcW w:w="939" w:type="dxa"/>
            <w:tcBorders>
              <w:top w:val="single" w:sz="4" w:space="0" w:color="333333"/>
              <w:left w:val="single" w:sz="12" w:space="0" w:color="333333"/>
              <w:bottom w:val="single" w:sz="12" w:space="0" w:color="333333"/>
              <w:right w:val="single" w:sz="4" w:space="0" w:color="333333"/>
            </w:tcBorders>
            <w:shd w:val="clear" w:color="auto" w:fill="auto"/>
            <w:tcMar>
              <w:top w:w="75" w:type="dxa"/>
              <w:left w:w="120" w:type="dxa"/>
              <w:bottom w:w="75" w:type="dxa"/>
              <w:right w:w="120" w:type="dxa"/>
            </w:tcMar>
            <w:vAlign w:val="center"/>
          </w:tcPr>
          <w:p w14:paraId="7A90903D"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2</w:t>
            </w:r>
          </w:p>
        </w:tc>
        <w:tc>
          <w:tcPr>
            <w:tcW w:w="1926" w:type="dxa"/>
            <w:tcBorders>
              <w:top w:val="single" w:sz="4" w:space="0" w:color="333333"/>
              <w:left w:val="single" w:sz="4" w:space="0" w:color="333333"/>
              <w:bottom w:val="single" w:sz="12" w:space="0" w:color="333333"/>
              <w:right w:val="single" w:sz="4" w:space="0" w:color="333333"/>
            </w:tcBorders>
            <w:shd w:val="clear" w:color="auto" w:fill="auto"/>
            <w:tcMar>
              <w:top w:w="75" w:type="dxa"/>
              <w:left w:w="120" w:type="dxa"/>
              <w:bottom w:w="75" w:type="dxa"/>
              <w:right w:w="120" w:type="dxa"/>
            </w:tcMar>
            <w:vAlign w:val="center"/>
          </w:tcPr>
          <w:p w14:paraId="16FA74AA"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公众责任险</w:t>
            </w:r>
          </w:p>
        </w:tc>
        <w:tc>
          <w:tcPr>
            <w:tcW w:w="1875" w:type="dxa"/>
            <w:tcBorders>
              <w:top w:val="single" w:sz="4" w:space="0" w:color="333333"/>
              <w:left w:val="single" w:sz="4" w:space="0" w:color="333333"/>
              <w:bottom w:val="single" w:sz="12" w:space="0" w:color="333333"/>
              <w:right w:val="single" w:sz="4" w:space="0" w:color="333333"/>
            </w:tcBorders>
            <w:shd w:val="clear" w:color="auto" w:fill="auto"/>
            <w:tcMar>
              <w:top w:w="75" w:type="dxa"/>
              <w:left w:w="120" w:type="dxa"/>
              <w:bottom w:w="75" w:type="dxa"/>
              <w:right w:w="120" w:type="dxa"/>
            </w:tcMar>
            <w:vAlign w:val="center"/>
          </w:tcPr>
          <w:p w14:paraId="215A6504"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1项</w:t>
            </w:r>
          </w:p>
        </w:tc>
        <w:tc>
          <w:tcPr>
            <w:tcW w:w="1994" w:type="dxa"/>
            <w:tcBorders>
              <w:top w:val="single" w:sz="4" w:space="0" w:color="333333"/>
              <w:left w:val="single" w:sz="4" w:space="0" w:color="333333"/>
              <w:bottom w:val="single" w:sz="12" w:space="0" w:color="333333"/>
              <w:right w:val="single" w:sz="4" w:space="0" w:color="333333"/>
            </w:tcBorders>
            <w:shd w:val="clear" w:color="auto" w:fill="auto"/>
            <w:tcMar>
              <w:top w:w="75" w:type="dxa"/>
              <w:left w:w="120" w:type="dxa"/>
              <w:bottom w:w="75" w:type="dxa"/>
              <w:right w:w="120" w:type="dxa"/>
            </w:tcMar>
            <w:vAlign w:val="center"/>
          </w:tcPr>
          <w:p w14:paraId="23E21A54" w14:textId="77777777" w:rsidR="008A2ED0" w:rsidRDefault="00000000">
            <w:pPr>
              <w:widowControl/>
              <w:jc w:val="center"/>
              <w:rPr>
                <w:rFonts w:ascii="仿宋" w:eastAsia="仿宋" w:hAnsi="仿宋" w:cs="仿宋" w:hint="eastAsia"/>
                <w:color w:val="FF0000"/>
                <w:sz w:val="32"/>
                <w:szCs w:val="32"/>
              </w:rPr>
            </w:pPr>
            <w:r>
              <w:rPr>
                <w:rFonts w:ascii="仿宋" w:eastAsia="仿宋" w:hAnsi="仿宋" w:cs="仿宋" w:hint="eastAsia"/>
                <w:color w:val="FF0000"/>
                <w:sz w:val="32"/>
                <w:szCs w:val="32"/>
                <w:lang w:bidi="ar"/>
              </w:rPr>
              <w:t>10000.00</w:t>
            </w:r>
          </w:p>
        </w:tc>
        <w:tc>
          <w:tcPr>
            <w:tcW w:w="1755" w:type="dxa"/>
            <w:vMerge/>
            <w:tcBorders>
              <w:top w:val="single" w:sz="4" w:space="0" w:color="333333"/>
              <w:left w:val="single" w:sz="4" w:space="0" w:color="333333"/>
              <w:bottom w:val="single" w:sz="4" w:space="0" w:color="333333"/>
              <w:right w:val="single" w:sz="12" w:space="0" w:color="333333"/>
            </w:tcBorders>
            <w:shd w:val="clear" w:color="auto" w:fill="auto"/>
            <w:tcMar>
              <w:top w:w="75" w:type="dxa"/>
              <w:left w:w="120" w:type="dxa"/>
              <w:bottom w:w="75" w:type="dxa"/>
              <w:right w:w="120" w:type="dxa"/>
            </w:tcMar>
            <w:vAlign w:val="center"/>
          </w:tcPr>
          <w:p w14:paraId="3418D41F" w14:textId="77777777" w:rsidR="008A2ED0" w:rsidRDefault="008A2ED0">
            <w:pPr>
              <w:rPr>
                <w:rFonts w:ascii="仿宋" w:eastAsia="仿宋" w:hAnsi="仿宋" w:cs="仿宋" w:hint="eastAsia"/>
                <w:color w:val="FF0000"/>
                <w:sz w:val="32"/>
                <w:szCs w:val="32"/>
              </w:rPr>
            </w:pPr>
          </w:p>
        </w:tc>
      </w:tr>
    </w:tbl>
    <w:p w14:paraId="6D1DDE18"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注：投标人须对本项目为单位的采购标的或服务内容进行整体投标，不得缺漏，任何只对其中一部分采购标的或服务内容进行投标的都被视为无效投标。投标报价不得超出最高限价。</w:t>
      </w:r>
    </w:p>
    <w:p w14:paraId="2DDE38DA"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二、服务需求</w:t>
      </w:r>
    </w:p>
    <w:p w14:paraId="4137E008"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（一）医疗责任险，包括但不限于以下内容：</w:t>
      </w:r>
    </w:p>
    <w:p w14:paraId="179A6EC5"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1、免赔条件约定：0免赔</w:t>
      </w:r>
    </w:p>
    <w:p w14:paraId="1A984992"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保险责任范围：保险公司在服务期内必须为我院所有（包括进修、实习、外请）医务人员在诊疗护理活动过程中的执业过失，医疗机构的场所责任、医务人员因医疗纠纷遭受人身伤害、患者在住院期间因各种原因出现的意外事件等导致的赔偿责任予以承保。</w:t>
      </w:r>
    </w:p>
    <w:p w14:paraId="5F4B1CE3"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3、赔偿限额：</w:t>
      </w:r>
    </w:p>
    <w:p w14:paraId="5FA008CE"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（1）本保单累计责任限额≥100万元，每次事故赔偿限额≥50万元，包括每人精神损害赔偿限额，并计算在每人赔偿限额之内。</w:t>
      </w:r>
    </w:p>
    <w:p w14:paraId="197EA699"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（2）法律费用累计赔偿限额≥10万元，每次事故赔偿限额≥10万元整。</w:t>
      </w:r>
    </w:p>
    <w:p w14:paraId="2AC9F44E"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（3）附加公平分担损失保险特别约定，累计责任限额不超过保费的30%，每次事故限额≥5万元。</w:t>
      </w:r>
    </w:p>
    <w:p w14:paraId="20AE1B12"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（4）附加外请医务人员责任保险，每次事故限额≥50万元。</w:t>
      </w:r>
    </w:p>
    <w:p w14:paraId="525146FF"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（5）附加进修医务人员责任保险，每次事故限额≥50万元。</w:t>
      </w:r>
    </w:p>
    <w:p w14:paraId="131D8D17"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（6）附加医务人员遭受伤害责任保险，每人责任限额≥50万元。其中，每人医疗费用责任险≥50万元。</w:t>
      </w:r>
    </w:p>
    <w:p w14:paraId="6FBA66C5"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（7）附加医疗机构场所责任保险，每次事故每人责任险限额≥50万元，每次事故责任险限额≥50万元，累计赔偿限额≥100万元。</w:t>
      </w:r>
    </w:p>
    <w:p w14:paraId="5D059557"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（8）附加险每次事故赔偿限额和主险一致，且附加险年度累计赔偿限额包含在主险年度累计赔偿限额之内。</w:t>
      </w:r>
    </w:p>
    <w:p w14:paraId="3A3F1B86"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4、理赔服务要求：</w:t>
      </w:r>
    </w:p>
    <w:p w14:paraId="220FB341"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（1）比选申请人须提供清晰的医疗责任险理赔处理流程。</w:t>
      </w:r>
    </w:p>
    <w:p w14:paraId="4F5C9AB5"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（2）中选人须成立本项目领导管理小组及专项工作负</w:t>
      </w:r>
      <w:r>
        <w:rPr>
          <w:rFonts w:ascii="仿宋_GB2312" w:eastAsia="仿宋_GB2312" w:cs="仿宋_GB2312" w:hint="eastAsia"/>
          <w:sz w:val="32"/>
          <w:szCs w:val="32"/>
          <w:lang w:bidi="ar"/>
        </w:rPr>
        <w:t>责</w:t>
      </w:r>
      <w:r>
        <w:rPr>
          <w:rFonts w:ascii="仿宋_GB2312" w:eastAsia="仿宋_GB2312" w:hAnsi="仿宋_GB2312" w:cs="仿宋_GB2312" w:hint="eastAsia"/>
          <w:sz w:val="32"/>
          <w:szCs w:val="32"/>
        </w:rPr>
        <w:t>小组，配备专业服务管理团队，保证服务质量及办公场地、专业从业人员的投入。</w:t>
      </w:r>
    </w:p>
    <w:p w14:paraId="2EA7E048"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中选人须指派至少两名服务人员配合医院成立服务小组，为医院提供包含且不限于以下的服务：协助医院处理突发性事件的调查、处理，医疗责任险理赔材料的收集、递交及理赔跟进等工作。专职人员应当提供优良服务，能够专业且全面地为采购人解决各类问题，同时向采购人汇报医疗责任</w:t>
      </w:r>
      <w:proofErr w:type="gramStart"/>
      <w:r>
        <w:rPr>
          <w:rFonts w:ascii="仿宋_GB2312" w:eastAsia="仿宋_GB2312" w:hAnsi="仿宋_GB2312" w:cs="仿宋_GB2312" w:hint="eastAsia"/>
          <w:sz w:val="32"/>
          <w:szCs w:val="32"/>
        </w:rPr>
        <w:t>险相关</w:t>
      </w:r>
      <w:proofErr w:type="gramEnd"/>
      <w:r>
        <w:rPr>
          <w:rFonts w:ascii="仿宋_GB2312" w:eastAsia="仿宋_GB2312" w:hAnsi="仿宋_GB2312" w:cs="仿宋_GB2312" w:hint="eastAsia"/>
          <w:sz w:val="32"/>
          <w:szCs w:val="32"/>
        </w:rPr>
        <w:t>的最新情况。若采购人认为中选人所安排专职人员不能够满足上述业务能力要求的，采购人有权要求进行更换，直至满足要求为止。</w:t>
      </w:r>
    </w:p>
    <w:p w14:paraId="7953EB6A"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（4）简易定责服务：对于责任不明确的案件，应当向行政管理部门、</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调委、鉴定机构等征求意见，并在参考相关法律法规和规章制度以及相关部门意见后做出最终定责意见。</w:t>
      </w:r>
    </w:p>
    <w:p w14:paraId="237B49BB"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（5）理赔时效要求：中选人对收到的索赔材料进行审核，并在3个工作日内向投保人反馈是否立案以及是否需要</w:t>
      </w:r>
      <w:r>
        <w:rPr>
          <w:rFonts w:ascii="仿宋_GB2312" w:eastAsia="仿宋_GB2312" w:hAnsi="仿宋_GB2312" w:cs="仿宋_GB2312" w:hint="eastAsia"/>
          <w:sz w:val="32"/>
          <w:szCs w:val="32"/>
        </w:rPr>
        <w:lastRenderedPageBreak/>
        <w:t>补充提供证明材料。对决定拒赔或者不予立案的，出具正式的书面意见。对索赔材料齐全的案件按以下分类开具赔款通知书：</w:t>
      </w:r>
    </w:p>
    <w:p w14:paraId="4BC8471A"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小案【赔付金额3000元（不含3000元）以内】5个工作日以内；</w:t>
      </w:r>
    </w:p>
    <w:p w14:paraId="5D5C84D0"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中案【赔付金额</w:t>
      </w:r>
      <w:r>
        <w:rPr>
          <w:rFonts w:ascii="仿宋_GB2312" w:eastAsia="仿宋_GB2312" w:hAnsi="仿宋_GB2312" w:cs="仿宋_GB2312" w:hint="eastAsia"/>
          <w:sz w:val="32"/>
          <w:szCs w:val="32"/>
        </w:rPr>
        <w:tab/>
        <w:t>3000元（含3000元）至2万元（不含2万元）】7个工作日以内；</w:t>
      </w:r>
    </w:p>
    <w:p w14:paraId="41600DA2"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大案【赔付金额2万元（含2万元）至10万元（不含10万元）】10个工作日以内；</w:t>
      </w:r>
    </w:p>
    <w:p w14:paraId="1CF7D32D"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重大案件【赔付金额10万元以上（含10万元）】15个工作日以内。</w:t>
      </w:r>
    </w:p>
    <w:p w14:paraId="6A6D1839" w14:textId="77777777" w:rsidR="008A2ED0" w:rsidRDefault="00000000">
      <w:pPr>
        <w:numPr>
          <w:ilvl w:val="0"/>
          <w:numId w:val="1"/>
        </w:num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小额案件快速处理约定：对于赔偿金额在人民币1万元以下（含）的医疗纠纷，被保险人有权通过自行处理与患者达成和解，但亦</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因此而排除被保险人通过其他合法途径处理此类医疗纠纷的权利，保险人有权了解医疗纠纷的处理情况；被保险人通过自行和解方式与患者达成赔偿协议后，保险人应根据此赔偿协议进行保险赔付。</w:t>
      </w:r>
    </w:p>
    <w:p w14:paraId="7647295B"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（二）公众责任险，包括但不限于以下内容：</w:t>
      </w:r>
    </w:p>
    <w:p w14:paraId="230A826B"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投保人：广州市天河区中医医院</w:t>
      </w:r>
    </w:p>
    <w:p w14:paraId="653A0E2C" w14:textId="77777777" w:rsidR="008A2ED0" w:rsidRDefault="00000000">
      <w:pPr>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被保险人：广州市天河区中医医院，包括以下4个地址：</w:t>
      </w:r>
      <w:r>
        <w:rPr>
          <w:rFonts w:ascii="仿宋_GB2312" w:eastAsia="仿宋_GB2312" w:hAnsi="仿宋_GB2312" w:cs="仿宋_GB2312" w:hint="eastAsia"/>
          <w:color w:val="FF0000"/>
          <w:sz w:val="32"/>
          <w:szCs w:val="32"/>
        </w:rPr>
        <w:br/>
        <w:t>1、本部：广州市天河区中医医院：天河区黄埔大道中</w:t>
      </w:r>
      <w:proofErr w:type="gramStart"/>
      <w:r>
        <w:rPr>
          <w:rFonts w:ascii="仿宋_GB2312" w:eastAsia="仿宋_GB2312" w:hAnsi="仿宋_GB2312" w:cs="仿宋_GB2312" w:hint="eastAsia"/>
          <w:color w:val="FF0000"/>
          <w:sz w:val="32"/>
          <w:szCs w:val="32"/>
        </w:rPr>
        <w:t>棠</w:t>
      </w:r>
      <w:proofErr w:type="gramEnd"/>
      <w:r>
        <w:rPr>
          <w:rFonts w:ascii="仿宋_GB2312" w:eastAsia="仿宋_GB2312" w:hAnsi="仿宋_GB2312" w:cs="仿宋_GB2312" w:hint="eastAsia"/>
          <w:color w:val="FF0000"/>
          <w:sz w:val="32"/>
          <w:szCs w:val="32"/>
        </w:rPr>
        <w:t>石路9号</w:t>
      </w:r>
    </w:p>
    <w:p w14:paraId="7F3E9CE0" w14:textId="77777777" w:rsidR="008A2ED0" w:rsidRDefault="00000000">
      <w:pPr>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2、天河区人民政府医务室：天河区天府路1号</w:t>
      </w:r>
    </w:p>
    <w:p w14:paraId="201536FC" w14:textId="77777777" w:rsidR="008A2ED0" w:rsidRDefault="00000000">
      <w:pPr>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3、广州市天河区中医医院</w:t>
      </w:r>
      <w:proofErr w:type="gramStart"/>
      <w:r>
        <w:rPr>
          <w:rFonts w:ascii="仿宋_GB2312" w:eastAsia="仿宋_GB2312" w:hAnsi="仿宋_GB2312" w:cs="仿宋_GB2312" w:hint="eastAsia"/>
          <w:color w:val="FF0000"/>
          <w:sz w:val="32"/>
          <w:szCs w:val="32"/>
        </w:rPr>
        <w:t>智谷院</w:t>
      </w:r>
      <w:proofErr w:type="gramEnd"/>
      <w:r>
        <w:rPr>
          <w:rFonts w:ascii="仿宋_GB2312" w:eastAsia="仿宋_GB2312" w:hAnsi="仿宋_GB2312" w:cs="仿宋_GB2312" w:hint="eastAsia"/>
          <w:color w:val="FF0000"/>
          <w:sz w:val="32"/>
          <w:szCs w:val="32"/>
        </w:rPr>
        <w:t>区：天河区新塘街道天年街399号</w:t>
      </w:r>
    </w:p>
    <w:p w14:paraId="68EB33E4" w14:textId="77777777" w:rsidR="008A2ED0" w:rsidRDefault="00000000">
      <w:r>
        <w:rPr>
          <w:rFonts w:ascii="仿宋_GB2312" w:eastAsia="仿宋_GB2312" w:hAnsi="仿宋_GB2312" w:cs="仿宋_GB2312" w:hint="eastAsia"/>
          <w:color w:val="FF0000"/>
          <w:sz w:val="32"/>
          <w:szCs w:val="32"/>
        </w:rPr>
        <w:t>4、广州市政务服务和数据管理局应急医疗点：天河区华利路61号7楼场所</w:t>
      </w:r>
    </w:p>
    <w:p w14:paraId="2232A392" w14:textId="77777777" w:rsidR="008A2ED0" w:rsidRDefault="008A2ED0">
      <w:pPr>
        <w:spacing w:line="440" w:lineRule="exact"/>
        <w:ind w:firstLineChars="200" w:firstLine="640"/>
        <w:rPr>
          <w:rFonts w:ascii="仿宋_GB2312" w:eastAsia="仿宋_GB2312" w:hAnsi="仿宋_GB2312" w:cs="仿宋_GB2312"/>
          <w:color w:val="FF0000"/>
          <w:sz w:val="32"/>
          <w:szCs w:val="32"/>
        </w:rPr>
      </w:pPr>
    </w:p>
    <w:p w14:paraId="0BB9E78B"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lastRenderedPageBreak/>
        <w:t>责任限额和免赔额：累计责任限额：≥500万元，每次事故责任限额≥500万元，每次事故每人责任限额≥150万元。</w:t>
      </w:r>
    </w:p>
    <w:p w14:paraId="75F46841"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主险保险责任：</w:t>
      </w:r>
    </w:p>
    <w:p w14:paraId="3C507E9F"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1、在保险期限内，被保险人在保险单明细表列明的范围内，因经营业务发生意外事故，造成第三者的人身伤亡和财产损失，依法应由被保险人承担的经济赔偿责任，保险公司按规定负责赔偿。</w:t>
      </w:r>
    </w:p>
    <w:p w14:paraId="77168116"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2、对被保险人因上述原因而支付的诉讼费用以及事先经保险公司书面同意而支付的其他费用，保险公司亦负责赔偿。</w:t>
      </w:r>
    </w:p>
    <w:p w14:paraId="35631557"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主</w:t>
      </w:r>
      <w:proofErr w:type="gramStart"/>
      <w:r>
        <w:rPr>
          <w:rFonts w:ascii="仿宋_GB2312" w:eastAsia="仿宋_GB2312" w:hAnsi="仿宋_GB2312" w:cs="仿宋_GB2312" w:hint="eastAsia"/>
          <w:color w:val="FF0000"/>
          <w:sz w:val="32"/>
          <w:szCs w:val="32"/>
        </w:rPr>
        <w:t>险赔偿</w:t>
      </w:r>
      <w:proofErr w:type="gramEnd"/>
      <w:r>
        <w:rPr>
          <w:rFonts w:ascii="仿宋_GB2312" w:eastAsia="仿宋_GB2312" w:hAnsi="仿宋_GB2312" w:cs="仿宋_GB2312" w:hint="eastAsia"/>
          <w:color w:val="FF0000"/>
          <w:sz w:val="32"/>
          <w:szCs w:val="32"/>
        </w:rPr>
        <w:t>限额、免赔条件如下：</w:t>
      </w:r>
    </w:p>
    <w:p w14:paraId="35367742" w14:textId="77777777" w:rsidR="008A2ED0" w:rsidRDefault="00000000">
      <w:pPr>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（1）广州市天河区中医医院：天河区黄埔大道中</w:t>
      </w:r>
      <w:proofErr w:type="gramStart"/>
      <w:r>
        <w:rPr>
          <w:rFonts w:ascii="仿宋_GB2312" w:eastAsia="仿宋_GB2312" w:hAnsi="仿宋_GB2312" w:cs="仿宋_GB2312" w:hint="eastAsia"/>
          <w:color w:val="FF0000"/>
          <w:sz w:val="32"/>
          <w:szCs w:val="32"/>
        </w:rPr>
        <w:t>棠</w:t>
      </w:r>
      <w:proofErr w:type="gramEnd"/>
      <w:r>
        <w:rPr>
          <w:rFonts w:ascii="仿宋_GB2312" w:eastAsia="仿宋_GB2312" w:hAnsi="仿宋_GB2312" w:cs="仿宋_GB2312" w:hint="eastAsia"/>
          <w:color w:val="FF0000"/>
          <w:sz w:val="32"/>
          <w:szCs w:val="32"/>
        </w:rPr>
        <w:t>石路9号</w:t>
      </w:r>
    </w:p>
    <w:p w14:paraId="0589F1DA"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累计赔偿限额为人民币≥300万元整，每次事故赔偿限额为人民币≥300万元整，其中每人每次赔偿限额为人民币≥50万元整。</w:t>
      </w:r>
    </w:p>
    <w:p w14:paraId="180FE7A1" w14:textId="77777777" w:rsidR="008A2ED0" w:rsidRDefault="00000000">
      <w:pPr>
        <w:numPr>
          <w:ilvl w:val="0"/>
          <w:numId w:val="2"/>
        </w:num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天河区人民政府医务室：天河区天府路1号</w:t>
      </w:r>
    </w:p>
    <w:p w14:paraId="3535BE24"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累计赔偿限额为人民币≥100万元整，每次事故赔偿限额为人民币≥100万元整，其中每人每次赔偿限额为人民币≥50万元整。</w:t>
      </w:r>
    </w:p>
    <w:p w14:paraId="69CC3CD3"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（3）广州市天河区中医医院</w:t>
      </w:r>
      <w:proofErr w:type="gramStart"/>
      <w:r>
        <w:rPr>
          <w:rFonts w:ascii="仿宋_GB2312" w:eastAsia="仿宋_GB2312" w:hAnsi="仿宋_GB2312" w:cs="仿宋_GB2312" w:hint="eastAsia"/>
          <w:color w:val="FF0000"/>
          <w:sz w:val="32"/>
          <w:szCs w:val="32"/>
        </w:rPr>
        <w:t>智谷院</w:t>
      </w:r>
      <w:proofErr w:type="gramEnd"/>
      <w:r>
        <w:rPr>
          <w:rFonts w:ascii="仿宋_GB2312" w:eastAsia="仿宋_GB2312" w:hAnsi="仿宋_GB2312" w:cs="仿宋_GB2312" w:hint="eastAsia"/>
          <w:color w:val="FF0000"/>
          <w:sz w:val="32"/>
          <w:szCs w:val="32"/>
        </w:rPr>
        <w:t>区：天河区新塘街道天年街399号</w:t>
      </w:r>
    </w:p>
    <w:p w14:paraId="5B464B02"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累计赔偿限额为人民币≥100万元整，每次事故赔偿限额为人民币≥100万元整，其中每人每次赔偿限额为人民币≥50万元整。</w:t>
      </w:r>
    </w:p>
    <w:p w14:paraId="32B87C32"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免赔条件：财产损失部分免赔为人民币500元或损失金额的5%，以高者为准。人身伤亡无免赔。</w:t>
      </w:r>
    </w:p>
    <w:p w14:paraId="6A81564A"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广州市政务服务和数据管理局应急医疗点：天河区华利路61号7楼场所</w:t>
      </w:r>
    </w:p>
    <w:p w14:paraId="7ED843B3"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lastRenderedPageBreak/>
        <w:t>累计赔偿限额为人民币≥100万元整，每次事故赔偿限额为人民币≥100万元整，其中每人每次赔偿限额为人民币≥50万元整。</w:t>
      </w:r>
    </w:p>
    <w:p w14:paraId="49AA1CAB"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免赔条件：财产损失部分免赔为人民币500元或损失金额的5%，以高者为准。人身伤亡无免赔。</w:t>
      </w:r>
    </w:p>
    <w:p w14:paraId="1E1AA2AA"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附加险保险责任：</w:t>
      </w:r>
    </w:p>
    <w:p w14:paraId="7EDF25BA"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本保险单附加火灾爆炸责任保险、锅炉爆炸责任保险、电梯责任保险、建筑物改变保险、广告及装饰装置责任条款、食品饮料责任保险共6个。</w:t>
      </w:r>
    </w:p>
    <w:p w14:paraId="51B745D5"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（一）火灾爆炸责任保险（扩展承保保险单列明地点范围内因火灾或爆炸造成第三者人身伤亡或财产损失时被保险人应负的赔偿责任）。</w:t>
      </w:r>
    </w:p>
    <w:p w14:paraId="7EFEE08E"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（二）锅炉爆炸责任保险（扩展承保保险单列明地点范围内，由于锅炉本身内部压力产生爆炸，造成第三者人身伤亡或财产损失时被保险人应负的赔偿责任）</w:t>
      </w:r>
    </w:p>
    <w:p w14:paraId="12F9A22C"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（三）电梯责任保险（扩展承保保险单列明地点范围内的电梯、升降机在正常使用过程中发生意外事故造成第三者人身伤亡或财产损失时被保险人应负的赔偿责任）</w:t>
      </w:r>
    </w:p>
    <w:p w14:paraId="0DCF2BC2"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（四）建筑物改变保险（扩展承保被保险人因改变、维修或装修建筑造成第三者人身伤亡或财产损失时应负的赔偿责任）</w:t>
      </w:r>
    </w:p>
    <w:p w14:paraId="5FCE66AD"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（五）广告及装饰装置责任条款（扩展承保被保险人因在保险单中列明的经营场所内或其他列明场所布置的广告、霓虹灯、装饰物发生意外事故造成第三者人身伤亡或财产损失时依法应承担的经济赔偿责任。）</w:t>
      </w:r>
    </w:p>
    <w:p w14:paraId="0C45D357"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（六）食品饮料责任保险（扩展承保被保险人在保险单列明地点范围内因其提供的食品、饮料或掺有异物的食品、饮料造成第三者人身伤亡或财产损失时应负的赔偿责任。）</w:t>
      </w:r>
    </w:p>
    <w:p w14:paraId="6DC977EF"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附加</w:t>
      </w:r>
      <w:proofErr w:type="gramStart"/>
      <w:r>
        <w:rPr>
          <w:rFonts w:ascii="仿宋_GB2312" w:eastAsia="仿宋_GB2312" w:hAnsi="仿宋_GB2312" w:cs="仿宋_GB2312" w:hint="eastAsia"/>
          <w:color w:val="FF0000"/>
          <w:sz w:val="32"/>
          <w:szCs w:val="32"/>
        </w:rPr>
        <w:t>险赔偿</w:t>
      </w:r>
      <w:proofErr w:type="gramEnd"/>
      <w:r>
        <w:rPr>
          <w:rFonts w:ascii="仿宋_GB2312" w:eastAsia="仿宋_GB2312" w:hAnsi="仿宋_GB2312" w:cs="仿宋_GB2312" w:hint="eastAsia"/>
          <w:color w:val="FF0000"/>
          <w:sz w:val="32"/>
          <w:szCs w:val="32"/>
        </w:rPr>
        <w:t>限额、免赔条件：每个地址每个附加险的赔偿限额、免赔条件与主</w:t>
      </w:r>
      <w:proofErr w:type="gramStart"/>
      <w:r>
        <w:rPr>
          <w:rFonts w:ascii="仿宋_GB2312" w:eastAsia="仿宋_GB2312" w:hAnsi="仿宋_GB2312" w:cs="仿宋_GB2312" w:hint="eastAsia"/>
          <w:color w:val="FF0000"/>
          <w:sz w:val="32"/>
          <w:szCs w:val="32"/>
        </w:rPr>
        <w:t>险赔偿</w:t>
      </w:r>
      <w:proofErr w:type="gramEnd"/>
      <w:r>
        <w:rPr>
          <w:rFonts w:ascii="仿宋_GB2312" w:eastAsia="仿宋_GB2312" w:hAnsi="仿宋_GB2312" w:cs="仿宋_GB2312" w:hint="eastAsia"/>
          <w:color w:val="FF0000"/>
          <w:sz w:val="32"/>
          <w:szCs w:val="32"/>
        </w:rPr>
        <w:t>限额相同。</w:t>
      </w:r>
    </w:p>
    <w:p w14:paraId="650B0907"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特别约定：</w:t>
      </w:r>
    </w:p>
    <w:p w14:paraId="73663F76"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lastRenderedPageBreak/>
        <w:t>1、应扩展承保医院内的建筑物、通道、仪器或其他设施因设置、保管、管理有缺陷而发生意外事故造成第三者人身伤亡或财产损失时被保险人应负的赔偿责任。</w:t>
      </w:r>
    </w:p>
    <w:p w14:paraId="349D7D9D" w14:textId="77777777" w:rsidR="008A2ED0" w:rsidRDefault="0000000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免赔条件：每次事故绝对免赔额（适用于财产损失）：500元正或损失额的5%，以高者为准。人身伤亡无免赔。</w:t>
      </w:r>
    </w:p>
    <w:p w14:paraId="18E8D1AB" w14:textId="77777777" w:rsidR="008A2ED0" w:rsidRDefault="008A2ED0">
      <w:pPr>
        <w:pStyle w:val="Style3"/>
        <w:ind w:firstLineChars="0" w:firstLine="0"/>
        <w:rPr>
          <w:color w:val="FF0000"/>
        </w:rPr>
      </w:pPr>
    </w:p>
    <w:p w14:paraId="36C05A99" w14:textId="77777777" w:rsidR="008A2ED0" w:rsidRDefault="00000000">
      <w:pPr>
        <w:spacing w:line="44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三、报价要求</w:t>
      </w:r>
    </w:p>
    <w:p w14:paraId="0C607262"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（一）报价方式为报总价，请根据项目要求，结合计费标准一次性报出总价。</w:t>
      </w:r>
    </w:p>
    <w:p w14:paraId="6B10C20F" w14:textId="77777777" w:rsidR="008A2ED0"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（二）报价人的投标报价已包括完成本项目工作所需的检查费用和市内交通费、误餐费等各项杂费以及税费。</w:t>
      </w:r>
    </w:p>
    <w:p w14:paraId="7CF1BCF2" w14:textId="77777777" w:rsidR="008A2ED0" w:rsidRDefault="00000000">
      <w:pPr>
        <w:spacing w:line="44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四、付款方式</w:t>
      </w:r>
    </w:p>
    <w:p w14:paraId="60EA87B9" w14:textId="77777777" w:rsidR="008A2ED0" w:rsidRDefault="00000000">
      <w:pPr>
        <w:tabs>
          <w:tab w:val="left" w:pos="0"/>
        </w:tabs>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采购人在合同签订后5个工作日内向中选人支付合同总价100%的款项。</w:t>
      </w:r>
    </w:p>
    <w:p w14:paraId="2065AF22" w14:textId="77777777" w:rsidR="008A2ED0" w:rsidRDefault="00000000">
      <w:pPr>
        <w:tabs>
          <w:tab w:val="left" w:pos="0"/>
        </w:tabs>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p>
    <w:p w14:paraId="77FC668B" w14:textId="77777777" w:rsidR="008A2ED0" w:rsidRDefault="00000000">
      <w:pPr>
        <w:tabs>
          <w:tab w:val="left" w:pos="0"/>
        </w:tabs>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1、支付款项前中选人应向采购人提供合法有效的等额发票，如因中选人未开具发票导致采购人无法按期支付款项的，采购人不承担违约责任；</w:t>
      </w:r>
    </w:p>
    <w:p w14:paraId="28F6CF5E" w14:textId="77777777" w:rsidR="008A2ED0" w:rsidRDefault="00000000">
      <w:pPr>
        <w:tabs>
          <w:tab w:val="left" w:pos="0"/>
        </w:tabs>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2、上列款项支付时间指采购人办理款项支付手续期限，并非款项到账时间；</w:t>
      </w:r>
    </w:p>
    <w:p w14:paraId="1F7E2024" w14:textId="77777777" w:rsidR="008A2ED0" w:rsidRDefault="00000000">
      <w:pPr>
        <w:tabs>
          <w:tab w:val="left" w:pos="0"/>
        </w:tabs>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3、如因财政拨款原因导致采购人无法按期支付款项的，采购人无需承担违约责任。</w:t>
      </w:r>
    </w:p>
    <w:p w14:paraId="44A3DA7F" w14:textId="77777777" w:rsidR="008A2ED0" w:rsidRDefault="008A2ED0"/>
    <w:sectPr w:rsidR="008A2ED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4DFFA" w14:textId="77777777" w:rsidR="007D1F73" w:rsidRDefault="007D1F73">
      <w:r>
        <w:separator/>
      </w:r>
    </w:p>
  </w:endnote>
  <w:endnote w:type="continuationSeparator" w:id="0">
    <w:p w14:paraId="4659B3B2" w14:textId="77777777" w:rsidR="007D1F73" w:rsidRDefault="007D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1E3A" w14:textId="77777777" w:rsidR="008A2ED0" w:rsidRDefault="00000000">
    <w:pPr>
      <w:pStyle w:val="a3"/>
    </w:pPr>
    <w:r>
      <w:rPr>
        <w:noProof/>
      </w:rPr>
      <mc:AlternateContent>
        <mc:Choice Requires="wps">
          <w:drawing>
            <wp:anchor distT="0" distB="0" distL="114300" distR="114300" simplePos="0" relativeHeight="251659264" behindDoc="0" locked="0" layoutInCell="1" allowOverlap="1" wp14:anchorId="17182742" wp14:editId="14A6C0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E3CEF" w14:textId="77777777" w:rsidR="008A2ED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18274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2E3CEF" w14:textId="77777777" w:rsidR="008A2ED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81692" w14:textId="77777777" w:rsidR="007D1F73" w:rsidRDefault="007D1F73">
      <w:r>
        <w:separator/>
      </w:r>
    </w:p>
  </w:footnote>
  <w:footnote w:type="continuationSeparator" w:id="0">
    <w:p w14:paraId="5AAC4BA0" w14:textId="77777777" w:rsidR="007D1F73" w:rsidRDefault="007D1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7B6B35"/>
    <w:multiLevelType w:val="singleLevel"/>
    <w:tmpl w:val="AC7B6B35"/>
    <w:lvl w:ilvl="0">
      <w:start w:val="2"/>
      <w:numFmt w:val="decimal"/>
      <w:suff w:val="nothing"/>
      <w:lvlText w:val="（%1）"/>
      <w:lvlJc w:val="left"/>
    </w:lvl>
  </w:abstractNum>
  <w:abstractNum w:abstractNumId="1" w15:restartNumberingAfterBreak="0">
    <w:nsid w:val="48FDA117"/>
    <w:multiLevelType w:val="singleLevel"/>
    <w:tmpl w:val="48FDA117"/>
    <w:lvl w:ilvl="0">
      <w:start w:val="6"/>
      <w:numFmt w:val="decimal"/>
      <w:suff w:val="nothing"/>
      <w:lvlText w:val="（%1）"/>
      <w:lvlJc w:val="left"/>
    </w:lvl>
  </w:abstractNum>
  <w:num w:numId="1" w16cid:durableId="1719670386">
    <w:abstractNumId w:val="1"/>
  </w:num>
  <w:num w:numId="2" w16cid:durableId="14575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IzOGRhMGVmNWJkNjY3OWJjYmM1MDVmMGZiZThhNzYifQ=="/>
  </w:docVars>
  <w:rsids>
    <w:rsidRoot w:val="008A2ED0"/>
    <w:rsid w:val="001F1CF0"/>
    <w:rsid w:val="007D1F73"/>
    <w:rsid w:val="008A2ED0"/>
    <w:rsid w:val="00E33809"/>
    <w:rsid w:val="13FE2B7B"/>
    <w:rsid w:val="17061C6E"/>
    <w:rsid w:val="17E86BCC"/>
    <w:rsid w:val="1E1251AF"/>
    <w:rsid w:val="234D7263"/>
    <w:rsid w:val="2D322E67"/>
    <w:rsid w:val="30F52E7F"/>
    <w:rsid w:val="32B859FA"/>
    <w:rsid w:val="32DE300F"/>
    <w:rsid w:val="35133FF2"/>
    <w:rsid w:val="373E245D"/>
    <w:rsid w:val="38AA2CD5"/>
    <w:rsid w:val="40075137"/>
    <w:rsid w:val="757B4870"/>
    <w:rsid w:val="75D2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F0EB"/>
  <w15:docId w15:val="{4226F80F-0DBA-4CC5-9B69-447F1D39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Body Text Inden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3"/>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
    <w:qFormat/>
    <w:pPr>
      <w:ind w:firstLineChars="200" w:firstLine="420"/>
    </w:pPr>
    <w:rPr>
      <w:sz w:val="20"/>
    </w:rPr>
  </w:style>
  <w:style w:type="paragraph" w:styleId="3">
    <w:name w:val="Body Text Indent 3"/>
    <w:basedOn w:val="a"/>
    <w:uiPriority w:val="99"/>
    <w:qFormat/>
    <w:pPr>
      <w:spacing w:after="120"/>
      <w:ind w:leftChars="200" w:left="420"/>
    </w:pPr>
    <w:rPr>
      <w:sz w:val="16"/>
      <w:szCs w:val="16"/>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p141">
    <w:name w:val="p141"/>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89038520@qq.com</cp:lastModifiedBy>
  <cp:revision>2</cp:revision>
  <dcterms:created xsi:type="dcterms:W3CDTF">2024-10-09T07:25:00Z</dcterms:created>
  <dcterms:modified xsi:type="dcterms:W3CDTF">2024-10-09T07:25:00Z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F38BE9707A9A41CDAB457E9467054DE0_13</vt:lpwstr>
  </property>
</Properties>
</file>