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outlineLvl w:val="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440" w:lineRule="exact"/>
        <w:jc w:val="center"/>
        <w:outlineLvl w:val="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评分表</w:t>
      </w:r>
    </w:p>
    <w:tbl>
      <w:tblPr>
        <w:tblStyle w:val="6"/>
        <w:tblW w:w="1011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395"/>
        <w:gridCol w:w="825"/>
        <w:gridCol w:w="6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141" w:type="dxa"/>
          </w:tcPr>
          <w:p>
            <w:pPr>
              <w:pStyle w:val="9"/>
              <w:spacing w:line="260" w:lineRule="exact"/>
              <w:ind w:left="18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60" w:lineRule="exact"/>
              <w:ind w:left="18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评审类别</w:t>
            </w:r>
          </w:p>
        </w:tc>
        <w:tc>
          <w:tcPr>
            <w:tcW w:w="139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60" w:lineRule="exact"/>
              <w:ind w:left="18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60" w:lineRule="exact"/>
              <w:ind w:left="18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评审项目</w:t>
            </w:r>
          </w:p>
        </w:tc>
        <w:tc>
          <w:tcPr>
            <w:tcW w:w="8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60" w:lineRule="exact"/>
              <w:ind w:left="18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评选</w:t>
            </w:r>
          </w:p>
          <w:p>
            <w:pPr>
              <w:pStyle w:val="9"/>
              <w:spacing w:line="260" w:lineRule="exact"/>
              <w:ind w:left="18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  <w:p>
            <w:pPr>
              <w:pStyle w:val="9"/>
              <w:spacing w:line="260" w:lineRule="exact"/>
              <w:ind w:left="18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（分）</w:t>
            </w:r>
          </w:p>
        </w:tc>
        <w:tc>
          <w:tcPr>
            <w:tcW w:w="6751" w:type="dxa"/>
            <w:tcBorders>
              <w:left w:val="single" w:color="000000" w:sz="4" w:space="0"/>
            </w:tcBorders>
          </w:tcPr>
          <w:p>
            <w:pPr>
              <w:pStyle w:val="9"/>
              <w:spacing w:line="260" w:lineRule="exact"/>
              <w:ind w:left="18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60" w:lineRule="exact"/>
              <w:ind w:left="18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1141" w:type="dxa"/>
            <w:vMerge w:val="restart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技术部分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（45分）</w:t>
            </w:r>
          </w:p>
        </w:tc>
        <w:tc>
          <w:tcPr>
            <w:tcW w:w="1395" w:type="dxa"/>
            <w:vAlign w:val="center"/>
          </w:tcPr>
          <w:p>
            <w:pPr>
              <w:pStyle w:val="9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追溯期情况</w:t>
            </w:r>
          </w:p>
        </w:tc>
        <w:tc>
          <w:tcPr>
            <w:tcW w:w="825" w:type="dxa"/>
            <w:vAlign w:val="center"/>
          </w:tcPr>
          <w:p>
            <w:pPr>
              <w:pStyle w:val="9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5</w:t>
            </w:r>
          </w:p>
        </w:tc>
        <w:tc>
          <w:tcPr>
            <w:tcW w:w="6751" w:type="dxa"/>
            <w:vAlign w:val="center"/>
          </w:tcPr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书面承诺本项目追溯期（保险期间向前追溯）： （1）承诺3年追溯 期的，得</w:t>
            </w:r>
            <w:r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5</w:t>
            </w: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分； （2）承诺2年≤年限＜3年追溯期的，得</w:t>
            </w:r>
            <w:r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分； （3）承诺 1年≤年限＜2年追溯期的，得2分； （4）承诺年限＜1年追溯期的，得1分 ； （5）其他情况不得分。 注：提供承诺函原件加盖公章，无提供不得分。</w:t>
            </w:r>
            <w:r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承保期之前医疗案件发生的期限：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1141" w:type="dxa"/>
            <w:vMerge w:val="continue"/>
            <w:tcBorders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pStyle w:val="9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理赔服务方案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pStyle w:val="9"/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60" w:lineRule="exact"/>
              <w:ind w:left="185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51" w:type="dxa"/>
            <w:shd w:val="clear" w:color="auto" w:fill="auto"/>
            <w:vAlign w:val="center"/>
          </w:tcPr>
          <w:p>
            <w:pPr>
              <w:pStyle w:val="9"/>
              <w:spacing w:line="260" w:lineRule="exact"/>
              <w:ind w:left="185"/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（1）服务方案全面详尽，服务承诺内容对本项目有实际指导意义，具备完整的质量控制措施及完备的特殊情况处 理措施，可操作性强，得1</w:t>
            </w:r>
            <w:r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0</w:t>
            </w: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 xml:space="preserve">分； </w:t>
            </w:r>
          </w:p>
          <w:p>
            <w:pPr>
              <w:pStyle w:val="9"/>
              <w:spacing w:line="260" w:lineRule="exact"/>
              <w:ind w:left="185"/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（2）服务方案全面，具备服务承诺、质量 控制措施和特殊情况处理措施，有一定的可操作性，得</w:t>
            </w:r>
            <w:r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8</w:t>
            </w: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分；</w:t>
            </w:r>
          </w:p>
          <w:p>
            <w:pPr>
              <w:pStyle w:val="9"/>
              <w:spacing w:line="260" w:lineRule="exact"/>
              <w:ind w:left="185"/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（3）提供了服务方案，方案内容不完整，不具备可操作性，得</w:t>
            </w:r>
            <w:r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5</w:t>
            </w: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分；</w:t>
            </w:r>
          </w:p>
          <w:p>
            <w:pPr>
              <w:pStyle w:val="9"/>
              <w:spacing w:line="260" w:lineRule="exact"/>
              <w:ind w:left="185"/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（4）无提供服务方案不得分。</w:t>
            </w:r>
          </w:p>
          <w:p>
            <w:pPr>
              <w:pStyle w:val="9"/>
              <w:spacing w:line="260" w:lineRule="exact"/>
              <w:ind w:left="185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注：需提供承保、理赔方案等材料综合核定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1141" w:type="dxa"/>
            <w:vMerge w:val="continue"/>
            <w:tcBorders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服务人员配置</w:t>
            </w:r>
          </w:p>
        </w:tc>
        <w:tc>
          <w:tcPr>
            <w:tcW w:w="825" w:type="dxa"/>
            <w:vAlign w:val="center"/>
          </w:tcPr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</w:p>
          <w:p>
            <w:pPr>
              <w:pStyle w:val="9"/>
              <w:spacing w:line="260" w:lineRule="exact"/>
              <w:ind w:left="129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10</w:t>
            </w:r>
          </w:p>
        </w:tc>
        <w:tc>
          <w:tcPr>
            <w:tcW w:w="6751" w:type="dxa"/>
            <w:vAlign w:val="center"/>
          </w:tcPr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（1）投标人服务人员配置方案完善，拟投入本项目服务人员人员数量≥5人，人员构成科学合理，职责分工明确，管理方案详实，投入医学、保险、法律相关专业背景（大专/大专以上学历；或初级/初级以上职称）的服务人员，满足或优于本项目要求，得10分； （2）方案可行，3≤拟投入本项目服务人员人员数量＜5人，人员构成较合理，投入医学、保险相关专业背景（大专/大专以上学历；或初级/初级以上职称）的服务人员，满足本项目要求，得6分； （3）方案不可行，拟投入本项目服务人员人员数量＜3人，或人员构成不合理，或没有医学相关专业背景的服务人员，得2分。 注：提供上述人员的学历（或资质）及社保证明材料，不提供不得分。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  <w:jc w:val="center"/>
        </w:trPr>
        <w:tc>
          <w:tcPr>
            <w:tcW w:w="1141" w:type="dxa"/>
            <w:vMerge w:val="continue"/>
            <w:tcBorders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9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应急响应能力</w:t>
            </w:r>
          </w:p>
        </w:tc>
        <w:tc>
          <w:tcPr>
            <w:tcW w:w="825" w:type="dxa"/>
            <w:vAlign w:val="center"/>
          </w:tcPr>
          <w:p>
            <w:pPr>
              <w:pStyle w:val="9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751" w:type="dxa"/>
            <w:vAlign w:val="center"/>
          </w:tcPr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对于紧急情况响应，作出响应的时间≤5小时，</w:t>
            </w:r>
          </w:p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得15分；</w:t>
            </w:r>
          </w:p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5小时＜响应时间≤12小时，得4分；</w:t>
            </w:r>
          </w:p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响应时间&gt;12小时，得0分。</w:t>
            </w:r>
          </w:p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注：需提供响应时间的书面承诺，格式自拟，未提供不得分。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  <w:jc w:val="center"/>
        </w:trPr>
        <w:tc>
          <w:tcPr>
            <w:tcW w:w="1141" w:type="dxa"/>
            <w:vMerge w:val="continue"/>
            <w:tcBorders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9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理赔时效承诺</w:t>
            </w:r>
          </w:p>
        </w:tc>
        <w:tc>
          <w:tcPr>
            <w:tcW w:w="825" w:type="dxa"/>
            <w:vAlign w:val="center"/>
          </w:tcPr>
          <w:p>
            <w:pPr>
              <w:pStyle w:val="9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5</w:t>
            </w:r>
          </w:p>
        </w:tc>
        <w:tc>
          <w:tcPr>
            <w:tcW w:w="6751" w:type="dxa"/>
            <w:vAlign w:val="center"/>
          </w:tcPr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结案赔付时效承诺的评审，提供承诺（保险责任明确、资料齐全的前 提下）： （1）1万元以下（含1万元）的赔案，3个工作日内作出赔付；承诺3个工作日内赔付得1分，多一天扣0.5分，此项最低扣至0分； （2）1— 5万元（不含1万元，含5万元）的赔案，5个工作日内作出赔付；承诺5个工作日内赔付得1分，多一天扣0.5分，此项最低扣至0分； （3）5—20万元 （不含5万元，含20万元）的赔案，7个工作日内作出赔付；承诺7个工作日内赔付得1分，多一天扣0.5分，此项最低扣至0分； （4）20—30万元（不 含20万元，含30万元）的赔案，10个工作日内作出赔付；承诺10个工作日 内赔付得1分，多一天扣0.5分，此项最低扣至0分； （5）30万元以上（不 含30万元）的赔案在15个工作日内作出赔付。承诺15个工作日内赔付得1分 ，多一天扣0.5分，此项最低扣至0分； 注：请提供承诺函加盖公章，无提供不得分。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pStyle w:val="9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商务部分(25分）</w:t>
            </w:r>
          </w:p>
        </w:tc>
        <w:tc>
          <w:tcPr>
            <w:tcW w:w="1395" w:type="dxa"/>
            <w:vAlign w:val="center"/>
          </w:tcPr>
          <w:p>
            <w:pPr>
              <w:pStyle w:val="9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企业信誉</w:t>
            </w:r>
          </w:p>
        </w:tc>
        <w:tc>
          <w:tcPr>
            <w:tcW w:w="825" w:type="dxa"/>
            <w:vAlign w:val="center"/>
          </w:tcPr>
          <w:p>
            <w:pPr>
              <w:pStyle w:val="9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1" w:type="dxa"/>
            <w:vAlign w:val="center"/>
          </w:tcPr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有政府主管部门、行业协会、同类客户等相关机构颁发的有关履约信用的证书或证明材料，每提供一份得1分，最高得5分。</w:t>
            </w:r>
          </w:p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注：须提交相关证书复印件，未提供不得分。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  <w:jc w:val="center"/>
        </w:trPr>
        <w:tc>
          <w:tcPr>
            <w:tcW w:w="1141" w:type="dxa"/>
            <w:vMerge w:val="continue"/>
            <w:tcBorders/>
            <w:vAlign w:val="center"/>
          </w:tcPr>
          <w:p>
            <w:pPr>
              <w:pStyle w:val="9"/>
              <w:spacing w:line="260" w:lineRule="exact"/>
              <w:ind w:left="12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9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项目业绩</w:t>
            </w:r>
          </w:p>
        </w:tc>
        <w:tc>
          <w:tcPr>
            <w:tcW w:w="825" w:type="dxa"/>
            <w:vAlign w:val="center"/>
          </w:tcPr>
          <w:p>
            <w:pPr>
              <w:pStyle w:val="9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10</w:t>
            </w:r>
          </w:p>
        </w:tc>
        <w:tc>
          <w:tcPr>
            <w:tcW w:w="6751" w:type="dxa"/>
            <w:vAlign w:val="center"/>
          </w:tcPr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根据投标人自2023年以来（以证明材料落款日期为准）同类项目的业绩进行评审：</w:t>
            </w:r>
          </w:p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（1）每提供1份独立承保的同类项目业绩，得1分；</w:t>
            </w:r>
          </w:p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（2）每提供1份同类项目业绩，但属于联共保项目的，按照投标人在保险共保体（联合体）内的份额比例折算业绩分数，计算公式为：单项业绩得分=1×（投标人在保险共保体（联合体）内的份额比例）【举例如下：1份联共保项目业绩中，如投标人所占份额为40%，则得分为1×40%=0.4分。】。</w:t>
            </w:r>
          </w:p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5"/>
                <w:sz w:val="24"/>
                <w:szCs w:val="24"/>
              </w:rPr>
              <w:t>以上分数可累计，但最多仅计算10份业绩，最高得10分。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  <w:jc w:val="center"/>
        </w:trPr>
        <w:tc>
          <w:tcPr>
            <w:tcW w:w="1141" w:type="dxa"/>
            <w:vMerge w:val="continue"/>
            <w:tcBorders/>
            <w:vAlign w:val="center"/>
          </w:tcPr>
          <w:p>
            <w:pPr>
              <w:pStyle w:val="9"/>
              <w:spacing w:line="260" w:lineRule="exact"/>
              <w:ind w:left="12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9"/>
              <w:spacing w:line="260" w:lineRule="exact"/>
              <w:ind w:left="129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履约能力</w:t>
            </w:r>
          </w:p>
        </w:tc>
        <w:tc>
          <w:tcPr>
            <w:tcW w:w="825" w:type="dxa"/>
            <w:vAlign w:val="center"/>
          </w:tcPr>
          <w:p>
            <w:pPr>
              <w:pStyle w:val="9"/>
              <w:spacing w:line="260" w:lineRule="exact"/>
              <w:ind w:left="129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5</w:t>
            </w:r>
          </w:p>
        </w:tc>
        <w:tc>
          <w:tcPr>
            <w:tcW w:w="6751" w:type="dxa"/>
            <w:vAlign w:val="center"/>
          </w:tcPr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投标人</w:t>
            </w: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具备与人民调解机构理赔衔接的履约能力，分别按照以下类型提供理 赔履约经验： （1）30万以下（含30万）的赔案提供</w:t>
            </w:r>
            <w:r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四</w:t>
            </w: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份，每份得0.5分， 最高得</w:t>
            </w:r>
            <w:r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分；（2）30-50万（含50万）的赔案提供</w:t>
            </w:r>
            <w:r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两份</w:t>
            </w: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，每份得1分，最高得</w:t>
            </w:r>
            <w:r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分；（3）80万元以上案件提供</w:t>
            </w:r>
            <w:r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一</w:t>
            </w: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份，每份得2分，最高得</w:t>
            </w:r>
            <w:r>
              <w:rPr>
                <w:rFonts w:hint="eastAsia"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color w:val="007BB8"/>
                <w:w w:val="95"/>
                <w:sz w:val="24"/>
                <w:szCs w:val="24"/>
              </w:rPr>
              <w:t>分。 本项合计最高得5分。 注：提供以人民调解协议作为理赔结论的赔付案例，人民 调解协议书和保险划款凭证金额一致作为评审依据，无提供不得分。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  <w:jc w:val="center"/>
        </w:trPr>
        <w:tc>
          <w:tcPr>
            <w:tcW w:w="1141" w:type="dxa"/>
            <w:vMerge w:val="continue"/>
            <w:tcBorders/>
            <w:vAlign w:val="center"/>
          </w:tcPr>
          <w:p>
            <w:pPr>
              <w:pStyle w:val="9"/>
              <w:spacing w:line="260" w:lineRule="exact"/>
              <w:ind w:left="129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9"/>
              <w:spacing w:line="260" w:lineRule="exact"/>
              <w:ind w:left="129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保密制度与方案</w:t>
            </w:r>
          </w:p>
        </w:tc>
        <w:tc>
          <w:tcPr>
            <w:tcW w:w="825" w:type="dxa"/>
            <w:vAlign w:val="center"/>
          </w:tcPr>
          <w:p>
            <w:pPr>
              <w:pStyle w:val="9"/>
              <w:spacing w:line="260" w:lineRule="exact"/>
              <w:ind w:left="129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5</w:t>
            </w:r>
          </w:p>
        </w:tc>
        <w:tc>
          <w:tcPr>
            <w:tcW w:w="675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 xml:space="preserve">投标人具有完善合理、可行性强的保密制度与方案，得5分；（2）投标人具有相对合理可行的保密制度与方案，得3分；（3）投标人保密制度及保密方案相对不完善的，得1分；       （4）无提供人员配置方案或其它情况的，得0分。                     </w:t>
            </w:r>
          </w:p>
          <w:p>
            <w:pPr>
              <w:pStyle w:val="9"/>
              <w:spacing w:line="260" w:lineRule="exact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注：提供保密制度及保密方案并加盖公章。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141" w:type="dxa"/>
            <w:vAlign w:val="center"/>
          </w:tcPr>
          <w:p>
            <w:pPr>
              <w:pStyle w:val="9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价格部分(30分）</w:t>
            </w:r>
          </w:p>
        </w:tc>
        <w:tc>
          <w:tcPr>
            <w:tcW w:w="1395" w:type="dxa"/>
            <w:vAlign w:val="center"/>
          </w:tcPr>
          <w:p>
            <w:pPr>
              <w:pStyle w:val="9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项目报价</w:t>
            </w:r>
          </w:p>
        </w:tc>
        <w:tc>
          <w:tcPr>
            <w:tcW w:w="825" w:type="dxa"/>
            <w:vAlign w:val="center"/>
          </w:tcPr>
          <w:p>
            <w:pPr>
              <w:pStyle w:val="9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30</w:t>
            </w:r>
          </w:p>
        </w:tc>
        <w:tc>
          <w:tcPr>
            <w:tcW w:w="6751" w:type="dxa"/>
            <w:vAlign w:val="center"/>
          </w:tcPr>
          <w:p>
            <w:pPr>
              <w:pStyle w:val="9"/>
              <w:spacing w:line="260" w:lineRule="exact"/>
              <w:ind w:left="129"/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4"/>
                <w:szCs w:val="24"/>
              </w:rPr>
              <w:t>满足比选资质要求且投标价格最低的投标报价为评标基准价，其他比选申请人的价格统一按照下列公式计算：价格得分＝（评标基准价／投标报价）＊价格权重*100。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04CD"/>
    <w:multiLevelType w:val="singleLevel"/>
    <w:tmpl w:val="2CD204C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zOGRhMGVmNWJkNjY3OWJjYmM1MDVmMGZiZThhNzYifQ=="/>
  </w:docVars>
  <w:rsids>
    <w:rsidRoot w:val="00E21377"/>
    <w:rsid w:val="00535054"/>
    <w:rsid w:val="008D238A"/>
    <w:rsid w:val="00E21377"/>
    <w:rsid w:val="00F11451"/>
    <w:rsid w:val="00F95FDC"/>
    <w:rsid w:val="07226596"/>
    <w:rsid w:val="0C390BE8"/>
    <w:rsid w:val="0E8F7D77"/>
    <w:rsid w:val="0E9768AD"/>
    <w:rsid w:val="10CF2CCF"/>
    <w:rsid w:val="2649061F"/>
    <w:rsid w:val="26BE72FA"/>
    <w:rsid w:val="2B5A3EBA"/>
    <w:rsid w:val="30F52E7F"/>
    <w:rsid w:val="343B467F"/>
    <w:rsid w:val="42F062CD"/>
    <w:rsid w:val="43A93F3B"/>
    <w:rsid w:val="48AC39E7"/>
    <w:rsid w:val="4D086B01"/>
    <w:rsid w:val="4F5764B9"/>
    <w:rsid w:val="515F4D2C"/>
    <w:rsid w:val="5483631E"/>
    <w:rsid w:val="54B7709D"/>
    <w:rsid w:val="591C5A3C"/>
    <w:rsid w:val="5AFA08CD"/>
    <w:rsid w:val="68C64184"/>
    <w:rsid w:val="6A194C38"/>
    <w:rsid w:val="6ACD532A"/>
    <w:rsid w:val="77462F46"/>
    <w:rsid w:val="7ED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right="-334" w:rightChars="-159"/>
    </w:pPr>
    <w:rPr>
      <w:rFonts w:ascii="宋体" w:hAnsi="宋体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99"/>
    <w:pPr>
      <w:spacing w:after="120"/>
      <w:ind w:left="420" w:leftChars="200"/>
    </w:pPr>
    <w:rPr>
      <w:sz w:val="16"/>
      <w:szCs w:val="16"/>
    </w:rPr>
  </w:style>
  <w:style w:type="paragraph" w:customStyle="1" w:styleId="8">
    <w:name w:val="_Style 3"/>
    <w:basedOn w:val="1"/>
    <w:next w:val="5"/>
    <w:qFormat/>
    <w:uiPriority w:val="0"/>
    <w:pPr>
      <w:ind w:firstLine="420" w:firstLineChars="200"/>
    </w:pPr>
    <w:rPr>
      <w:sz w:val="20"/>
    </w:rPr>
  </w:style>
  <w:style w:type="paragraph" w:customStyle="1" w:styleId="9">
    <w:name w:val="Table Paragraph"/>
    <w:basedOn w:val="1"/>
    <w:qFormat/>
    <w:uiPriority w:val="1"/>
    <w:rPr>
      <w:rFonts w:ascii="宋体" w:hAnsi="宋体" w:cs="宋体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11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</Words>
  <Characters>1762</Characters>
  <Lines>14</Lines>
  <Paragraphs>4</Paragraphs>
  <TotalTime>2</TotalTime>
  <ScaleCrop>false</ScaleCrop>
  <LinksUpToDate>false</LinksUpToDate>
  <CharactersWithSpaces>2066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2024-09-30T07:32:00Z</dcterms:created>
  <dc:creator>Administrator</dc:creator>
  <cp:lastModifiedBy>Administrator</cp:lastModifiedBy>
  <dcterms:modified xsi:type="dcterms:W3CDTF">2024-10-10T00:15:14Z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A6E2D21AC9BE409BA5F11424DB01FC00_13</vt:lpwstr>
  </property>
</Properties>
</file>