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360" w:lineRule="auto"/>
        <w:jc w:val="center"/>
        <w:outlineLvl w:val="2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综合评分表</w:t>
      </w:r>
    </w:p>
    <w:p>
      <w:pPr>
        <w:pStyle w:val="2"/>
        <w:rPr>
          <w:rFonts w:hint="eastAsia"/>
        </w:rPr>
      </w:pPr>
    </w:p>
    <w:tbl>
      <w:tblPr>
        <w:tblStyle w:val="4"/>
        <w:tblW w:w="8237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78"/>
        <w:gridCol w:w="1598"/>
        <w:gridCol w:w="5110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15" w:hRule="atLeast"/>
        </w:trPr>
        <w:tc>
          <w:tcPr>
            <w:tcW w:w="6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598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511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评分细则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分值（分）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3" w:hRule="atLeast"/>
        </w:trPr>
        <w:tc>
          <w:tcPr>
            <w:tcW w:w="67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一</w:t>
            </w:r>
          </w:p>
        </w:tc>
        <w:tc>
          <w:tcPr>
            <w:tcW w:w="755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技术部分(合计</w:t>
            </w: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>50</w:t>
            </w:r>
            <w:r>
              <w:rPr>
                <w:rFonts w:hint="eastAsia" w:ascii="黑体" w:hAnsi="宋体" w:eastAsia="黑体" w:cs="宋体"/>
                <w:sz w:val="24"/>
              </w:rPr>
              <w:t>分)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61" w:hRule="atLeast"/>
        </w:trPr>
        <w:tc>
          <w:tcPr>
            <w:tcW w:w="678" w:type="dxa"/>
            <w:tcBorders>
              <w:left w:val="single" w:color="auto" w:sz="12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napToGrid w:val="0"/>
              <w:spacing w:line="264" w:lineRule="auto"/>
              <w:ind w:left="2662" w:firstLineChars="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  <w:r>
              <w:rPr>
                <w:rFonts w:hint="eastAsia" w:ascii="宋体" w:hAnsi="宋体"/>
                <w:lang w:eastAsia="zh-CN"/>
              </w:rPr>
              <w:t>配送</w:t>
            </w:r>
            <w:r>
              <w:rPr>
                <w:rFonts w:hint="eastAsia" w:ascii="宋体" w:hAnsi="宋体"/>
              </w:rPr>
              <w:t>方案</w:t>
            </w:r>
          </w:p>
        </w:tc>
        <w:tc>
          <w:tcPr>
            <w:tcW w:w="5110" w:type="dxa"/>
            <w:vAlign w:val="center"/>
          </w:tcPr>
          <w:p>
            <w:pPr>
              <w:snapToGrid w:val="0"/>
              <w:spacing w:line="264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t>供应商</w:t>
            </w:r>
            <w:r>
              <w:rPr>
                <w:rFonts w:hint="eastAsia"/>
                <w:lang w:val="en-US" w:eastAsia="zh-CN"/>
              </w:rPr>
              <w:t>提供的配送方案是否合理，流程是否详细，人员配备是否充足，进行综合评审。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配送</w:t>
            </w:r>
            <w:r>
              <w:rPr>
                <w:rFonts w:hint="eastAsia"/>
              </w:rPr>
              <w:t>方案详尽，可行性高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配送</w:t>
            </w:r>
            <w:r>
              <w:rPr>
                <w:rFonts w:hint="eastAsia"/>
              </w:rPr>
              <w:t>方案较详尽，可行性较高，得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配送</w:t>
            </w:r>
            <w:r>
              <w:rPr>
                <w:rFonts w:hint="eastAsia"/>
              </w:rPr>
              <w:t>方案不够详尽，可行性较低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不提供不得分。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68" w:hRule="atLeast"/>
        </w:trPr>
        <w:tc>
          <w:tcPr>
            <w:tcW w:w="678" w:type="dxa"/>
            <w:tcBorders>
              <w:left w:val="single" w:color="auto" w:sz="12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napToGrid w:val="0"/>
              <w:spacing w:line="264" w:lineRule="auto"/>
              <w:ind w:left="2662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食品来源渠道</w:t>
            </w:r>
          </w:p>
        </w:tc>
        <w:tc>
          <w:tcPr>
            <w:tcW w:w="5110" w:type="dxa"/>
            <w:vAlign w:val="center"/>
          </w:tcPr>
          <w:p>
            <w:pPr>
              <w:snapToGrid w:val="0"/>
              <w:spacing w:line="264" w:lineRule="auto"/>
              <w:rPr>
                <w:rFonts w:hint="eastAsia"/>
                <w:lang w:val="en-US" w:eastAsia="zh-CN"/>
              </w:rPr>
            </w:pPr>
            <w:r>
              <w:t>供应商</w:t>
            </w:r>
            <w:r>
              <w:rPr>
                <w:rFonts w:hint="eastAsia"/>
                <w:lang w:val="en-US" w:eastAsia="zh-CN"/>
              </w:rPr>
              <w:t>提供的食材可溯源，并由具体措施，进行综合评审。</w:t>
            </w:r>
          </w:p>
          <w:p>
            <w:pPr>
              <w:numPr>
                <w:ilvl w:val="0"/>
                <w:numId w:val="0"/>
              </w:numPr>
              <w:snapToGrid w:val="0"/>
              <w:spacing w:line="264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1、项目溯源清晰，得5分；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溯源</w:t>
            </w:r>
            <w:r>
              <w:rPr>
                <w:rFonts w:hint="eastAsia"/>
              </w:rPr>
              <w:t>较</w:t>
            </w:r>
            <w:r>
              <w:rPr>
                <w:rFonts w:hint="eastAsia"/>
                <w:lang w:eastAsia="zh-CN"/>
              </w:rPr>
              <w:t>清晰</w:t>
            </w:r>
            <w:r>
              <w:rPr>
                <w:rFonts w:hint="eastAsia"/>
              </w:rPr>
              <w:t>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溯源</w:t>
            </w:r>
            <w:r>
              <w:rPr>
                <w:rFonts w:hint="eastAsia"/>
              </w:rPr>
              <w:t>不够详尽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分；</w:t>
            </w:r>
          </w:p>
          <w:p>
            <w:pPr>
              <w:numPr>
                <w:ilvl w:val="0"/>
                <w:numId w:val="0"/>
              </w:num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不提供不得分。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78" w:hRule="atLeast"/>
        </w:trPr>
        <w:tc>
          <w:tcPr>
            <w:tcW w:w="678" w:type="dxa"/>
            <w:tcBorders>
              <w:left w:val="single" w:color="auto" w:sz="12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napToGrid w:val="0"/>
              <w:spacing w:line="264" w:lineRule="auto"/>
              <w:ind w:left="2662" w:firstLineChars="0"/>
              <w:jc w:val="center"/>
              <w:rPr>
                <w:rFonts w:ascii="宋体" w:hAnsi="宋体"/>
                <w:color w:val="FF0000"/>
                <w:szCs w:val="21"/>
                <w:highlight w:val="yellow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应急方案</w:t>
            </w:r>
          </w:p>
        </w:tc>
        <w:tc>
          <w:tcPr>
            <w:tcW w:w="5110" w:type="dxa"/>
            <w:vAlign w:val="center"/>
          </w:tcPr>
          <w:p>
            <w:pPr>
              <w:snapToGrid w:val="0"/>
              <w:spacing w:line="264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考查</w:t>
            </w:r>
            <w:r>
              <w:t>供应商</w:t>
            </w:r>
            <w:r>
              <w:rPr>
                <w:rFonts w:hint="eastAsia"/>
                <w:lang w:val="en-US" w:eastAsia="zh-CN"/>
              </w:rPr>
              <w:t>处理突发事件的应急管理制度的详细程度及合理性。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应急方案详细、可行性高，得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应急方案较详细、可行性较高，得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应急方案不够详细、可行性较低，得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不提供不得分。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849" w:hRule="atLeast"/>
        </w:trPr>
        <w:tc>
          <w:tcPr>
            <w:tcW w:w="678" w:type="dxa"/>
            <w:tcBorders>
              <w:left w:val="single" w:color="auto" w:sz="12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napToGrid w:val="0"/>
              <w:spacing w:line="264" w:lineRule="auto"/>
              <w:ind w:left="2662" w:firstLineChars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质量保证措施</w:t>
            </w:r>
          </w:p>
        </w:tc>
        <w:tc>
          <w:tcPr>
            <w:tcW w:w="5110" w:type="dxa"/>
            <w:vAlign w:val="center"/>
          </w:tcPr>
          <w:p>
            <w:pPr>
              <w:snapToGrid w:val="0"/>
              <w:spacing w:line="264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针对本次项目需求提供完善的质量与食物安全保障方案。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质量保证措施方案详细、可行性高，得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质量保证措施方案较详细、可行性较高，得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质量保证措施方案不够详细、可行性较低，得3分；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不提供不得分。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78" w:hRule="atLeast"/>
        </w:trPr>
        <w:tc>
          <w:tcPr>
            <w:tcW w:w="678" w:type="dxa"/>
            <w:tcBorders>
              <w:left w:val="single" w:color="auto" w:sz="12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napToGrid w:val="0"/>
              <w:spacing w:line="264" w:lineRule="auto"/>
              <w:ind w:left="2662" w:firstLineChars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样品品质</w:t>
            </w:r>
          </w:p>
        </w:tc>
        <w:tc>
          <w:tcPr>
            <w:tcW w:w="5110" w:type="dxa"/>
            <w:vAlign w:val="center"/>
          </w:tcPr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根据供应商提供样品进行评审:</w:t>
            </w:r>
          </w:p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1、在口感、外观两个方面均表现出色，达到或超过预期标准，得10分。</w:t>
            </w:r>
          </w:p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2、在口感、外观两个方面表现良好，但略有不足，得8分。</w:t>
            </w:r>
          </w:p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3、在口感、外观两个方面表现一般，存在一些不足，但基本满足要求，得6分。</w:t>
            </w:r>
          </w:p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4、在口感、外观两个方面表现较差，有明显不足，得3分。</w:t>
            </w:r>
          </w:p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5、在口感、外观两个方面表现极差，无法满足基本要求，</w:t>
            </w:r>
            <w:r>
              <w:rPr>
                <w:rFonts w:hint="eastAsia" w:ascii="宋体" w:hAnsi="宋体"/>
                <w:lang w:val="en-US" w:eastAsia="zh-CN"/>
              </w:rPr>
              <w:t>或不提供样品</w:t>
            </w:r>
            <w:r>
              <w:rPr>
                <w:rFonts w:hint="eastAsia" w:ascii="宋体" w:hAnsi="宋体"/>
              </w:rPr>
              <w:t>不得分。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61" w:hRule="atLeast"/>
        </w:trPr>
        <w:tc>
          <w:tcPr>
            <w:tcW w:w="678" w:type="dxa"/>
            <w:tcBorders>
              <w:left w:val="single" w:color="auto" w:sz="12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napToGrid w:val="0"/>
              <w:spacing w:line="264" w:lineRule="auto"/>
              <w:ind w:left="2662" w:firstLineChars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售后服务方案</w:t>
            </w:r>
          </w:p>
        </w:tc>
        <w:tc>
          <w:tcPr>
            <w:tcW w:w="5110" w:type="dxa"/>
            <w:vAlign w:val="center"/>
          </w:tcPr>
          <w:p>
            <w:pPr>
              <w:snapToGrid w:val="0"/>
              <w:spacing w:line="264" w:lineRule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对各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>供应商</w:t>
            </w:r>
            <w:r>
              <w:rPr>
                <w:rFonts w:hint="eastAsia" w:ascii="宋体" w:hAnsi="宋体"/>
                <w:lang w:val="en-US" w:eastAsia="zh-CN"/>
              </w:rPr>
              <w:t>的服务承诺内容进行综合评审。</w:t>
            </w:r>
          </w:p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售后服务方案详细、可行性高，得1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售后服务方案较详细、可行性较高，得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分；</w:t>
            </w:r>
          </w:p>
          <w:p>
            <w:pPr>
              <w:snapToGrid w:val="0"/>
              <w:spacing w:line="264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售后服务方案不够详细、可行性较低，得3分；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不提供不得分。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0" w:hRule="atLeast"/>
        </w:trPr>
        <w:tc>
          <w:tcPr>
            <w:tcW w:w="67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64" w:lineRule="auto"/>
              <w:ind w:firstLine="240" w:firstLineChars="100"/>
              <w:jc w:val="both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二</w:t>
            </w:r>
          </w:p>
        </w:tc>
        <w:tc>
          <w:tcPr>
            <w:tcW w:w="755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商务部分(合计</w:t>
            </w: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>20</w:t>
            </w:r>
            <w:r>
              <w:rPr>
                <w:rFonts w:hint="eastAsia" w:ascii="黑体" w:hAnsi="宋体" w:eastAsia="黑体" w:cs="宋体"/>
                <w:sz w:val="24"/>
              </w:rPr>
              <w:t>分)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61" w:hRule="atLeast"/>
        </w:trPr>
        <w:tc>
          <w:tcPr>
            <w:tcW w:w="678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clear" w:pos="420"/>
              </w:tabs>
              <w:snapToGrid w:val="0"/>
              <w:spacing w:line="264" w:lineRule="auto"/>
              <w:ind w:left="2662" w:firstLineChars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ind w:left="-63" w:leftChars="-30" w:right="-88" w:rightChars="-42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>用户评价</w:t>
            </w:r>
          </w:p>
        </w:tc>
        <w:tc>
          <w:tcPr>
            <w:tcW w:w="5110" w:type="dxa"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>依据供应商202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>年1月1日至今承接的同类项目业绩，获得用户类似满意或量化评分在85%以上的用户评价证明，每提供1个用户评价得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>分，最高得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>分；无提供证明得0分。</w:t>
            </w:r>
          </w:p>
          <w:p>
            <w:pPr>
              <w:snapToGrid w:val="0"/>
              <w:spacing w:line="264" w:lineRule="auto"/>
              <w:ind w:left="40" w:leftChars="19" w:right="-88" w:rightChars="-42"/>
              <w:rPr>
                <w:rFonts w:ascii="宋体" w:hAnsi="宋体" w:cs="宋体"/>
                <w:b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（须提供加盖用户公章的用户评价复印件）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61" w:hRule="atLeast"/>
        </w:trPr>
        <w:tc>
          <w:tcPr>
            <w:tcW w:w="6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clear" w:pos="420"/>
              </w:tabs>
              <w:snapToGrid w:val="0"/>
              <w:spacing w:line="264" w:lineRule="auto"/>
              <w:ind w:left="2662" w:firstLineChars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管理体系认证</w:t>
            </w:r>
          </w:p>
        </w:tc>
        <w:tc>
          <w:tcPr>
            <w:tcW w:w="5110" w:type="dxa"/>
            <w:vAlign w:val="center"/>
          </w:tcPr>
          <w:p>
            <w:pPr>
              <w:widowControl/>
              <w:snapToGrid w:val="0"/>
              <w:spacing w:line="264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供应商获得质量管理体系认证、环境管理体系认证和职业健康安全管理体系认证</w:t>
            </w:r>
            <w:r>
              <w:rPr>
                <w:rFonts w:hint="eastAsia" w:ascii="宋体" w:hAnsi="宋体" w:cs="宋体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食品安全管理体系认证</w:t>
            </w:r>
            <w:r>
              <w:rPr>
                <w:rFonts w:hint="eastAsia" w:ascii="宋体" w:hAnsi="宋体" w:cs="宋体"/>
              </w:rPr>
              <w:t>的情况</w:t>
            </w:r>
            <w:r>
              <w:rPr>
                <w:rFonts w:hint="eastAsia" w:ascii="宋体" w:hAnsi="宋体" w:cs="宋体"/>
                <w:lang w:eastAsia="zh-CN"/>
              </w:rPr>
              <w:t>：</w:t>
            </w:r>
            <w:r>
              <w:rPr>
                <w:rFonts w:hint="eastAsia" w:ascii="宋体" w:hAnsi="宋体"/>
              </w:rPr>
              <w:t>具有其中任一项得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分，最高得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分，没有或不提供得0分。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61" w:hRule="atLeast"/>
        </w:trPr>
        <w:tc>
          <w:tcPr>
            <w:tcW w:w="6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clear" w:pos="420"/>
              </w:tabs>
              <w:snapToGrid w:val="0"/>
              <w:spacing w:line="264" w:lineRule="auto"/>
              <w:ind w:left="2662" w:firstLineChars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应急供应响应时间</w:t>
            </w:r>
          </w:p>
        </w:tc>
        <w:tc>
          <w:tcPr>
            <w:tcW w:w="5110" w:type="dxa"/>
            <w:vAlign w:val="center"/>
          </w:tcPr>
          <w:p>
            <w:pPr>
              <w:widowControl/>
              <w:snapToGrid w:val="0"/>
              <w:spacing w:line="264" w:lineRule="auto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供应商</w:t>
            </w:r>
            <w:r>
              <w:rPr>
                <w:rFonts w:hint="eastAsia" w:ascii="宋体" w:hAnsi="宋体" w:cs="宋体"/>
                <w:lang w:eastAsia="zh-CN"/>
              </w:rPr>
              <w:t>的应急供应响应承诺：</w:t>
            </w:r>
          </w:p>
          <w:p>
            <w:pPr>
              <w:widowControl/>
              <w:snapToGrid w:val="0"/>
              <w:spacing w:line="264" w:lineRule="auto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（1）承诺采购人需应急供应时，接到通知后在2小时（含）内将货物送达采购人配送地点，得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lang w:eastAsia="zh-CN"/>
              </w:rPr>
              <w:t xml:space="preserve">分； </w:t>
            </w:r>
          </w:p>
          <w:p>
            <w:pPr>
              <w:widowControl/>
              <w:snapToGrid w:val="0"/>
              <w:spacing w:line="264" w:lineRule="auto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（2）承诺采购人需应急供应时，接到通知后在2小时（不含）-3小时（含）内将货物送达采购人配送地点，得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lang w:eastAsia="zh-CN"/>
              </w:rPr>
              <w:t xml:space="preserve">分； </w:t>
            </w:r>
          </w:p>
          <w:p>
            <w:pPr>
              <w:widowControl/>
              <w:snapToGrid w:val="0"/>
              <w:spacing w:line="264" w:lineRule="auto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（3）承诺采购人需应急供应时，接到通知后在3小时（不含）-4小时（含）内将货物送达采购人配送地点，得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 xml:space="preserve">分； </w:t>
            </w:r>
          </w:p>
          <w:p>
            <w:pPr>
              <w:widowControl/>
              <w:snapToGrid w:val="0"/>
              <w:spacing w:line="264" w:lineRule="auto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 xml:space="preserve">（4）承诺采购人需应急供应时，接到通知后送达时间大于4小时（不含），或未承诺应急供应送达时间，得0分。 </w:t>
            </w:r>
          </w:p>
          <w:p>
            <w:pPr>
              <w:widowControl/>
              <w:snapToGrid w:val="0"/>
              <w:spacing w:line="264" w:lineRule="auto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注：须提供送达时间的承诺函，格式自定；未提供或其他不符合评审要求的，得0分。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33" w:hRule="atLeast"/>
        </w:trPr>
        <w:tc>
          <w:tcPr>
            <w:tcW w:w="67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三</w:t>
            </w:r>
          </w:p>
        </w:tc>
        <w:tc>
          <w:tcPr>
            <w:tcW w:w="755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价格部分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（合计</w:t>
            </w: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>30分）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0" w:hRule="atLeast"/>
        </w:trPr>
        <w:tc>
          <w:tcPr>
            <w:tcW w:w="678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投标报价</w:t>
            </w:r>
          </w:p>
        </w:tc>
        <w:tc>
          <w:tcPr>
            <w:tcW w:w="5110" w:type="dxa"/>
            <w:vAlign w:val="center"/>
          </w:tcPr>
          <w:p>
            <w:pPr>
              <w:snapToGrid w:val="0"/>
              <w:spacing w:line="264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价格分</w:t>
            </w:r>
            <w:r>
              <w:rPr>
                <w:rFonts w:hint="eastAsia" w:ascii="宋体" w:hAnsi="宋体" w:cs="宋体"/>
              </w:rPr>
              <w:t>应当采用低价优先法计算，即满足</w:t>
            </w:r>
            <w:r>
              <w:rPr>
                <w:rFonts w:hint="eastAsia" w:ascii="宋体" w:hAnsi="宋体" w:cs="宋体"/>
                <w:lang w:val="en-US" w:eastAsia="zh-CN"/>
              </w:rPr>
              <w:t>采购需求书</w:t>
            </w:r>
            <w:r>
              <w:rPr>
                <w:rFonts w:hint="eastAsia" w:ascii="宋体" w:hAnsi="宋体" w:cs="宋体"/>
              </w:rPr>
              <w:t>要求且</w:t>
            </w:r>
            <w:r>
              <w:rPr>
                <w:rFonts w:hint="eastAsia" w:ascii="宋体" w:hAnsi="宋体" w:cs="宋体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</w:rPr>
              <w:t>价格最低的</w:t>
            </w:r>
            <w:r>
              <w:rPr>
                <w:rFonts w:hint="eastAsia" w:ascii="宋体" w:hAnsi="宋体" w:cs="宋体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</w:rPr>
              <w:t>报价为评标基准价，其价格分为满分。其他</w:t>
            </w:r>
            <w:r>
              <w:rPr>
                <w:rFonts w:hint="eastAsia" w:ascii="宋体" w:hAnsi="宋体" w:cs="宋体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</w:rPr>
              <w:t>的价格分统一按照下列公式计算：</w:t>
            </w:r>
          </w:p>
          <w:p>
            <w:pPr>
              <w:widowControl/>
              <w:snapToGrid w:val="0"/>
              <w:spacing w:line="264" w:lineRule="auto"/>
              <w:ind w:firstLine="315" w:firstLineChars="150"/>
              <w:rPr>
                <w:rFonts w:ascii="宋体" w:hAnsi="宋体"/>
                <w:bCs/>
                <w:color w:val="FF0000"/>
              </w:rPr>
            </w:pPr>
            <w:r>
              <w:rPr>
                <w:rFonts w:hint="eastAsia"/>
                <w:lang w:val="en-US" w:eastAsia="zh-CN"/>
              </w:rPr>
              <w:t>响应</w:t>
            </w:r>
            <w:r>
              <w:t>报价得分＝（评标基准价/</w:t>
            </w:r>
            <w:r>
              <w:rPr>
                <w:rFonts w:hint="eastAsia"/>
                <w:lang w:val="en-US" w:eastAsia="zh-CN"/>
              </w:rPr>
              <w:t>响应</w:t>
            </w:r>
            <w:r>
              <w:t>报价）×价格分值</w:t>
            </w:r>
            <w:r>
              <w:rPr>
                <w:rFonts w:hint="eastAsia" w:ascii="宋体" w:hAnsi="宋体" w:cs="宋体"/>
                <w:b/>
              </w:rPr>
              <w:t>。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3" w:hRule="atLeast"/>
        </w:trPr>
        <w:tc>
          <w:tcPr>
            <w:tcW w:w="738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4" w:lineRule="auto"/>
              <w:ind w:left="-78" w:leftChars="-37" w:right="-73" w:rightChars="-35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100分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A1C36"/>
    <w:multiLevelType w:val="multilevel"/>
    <w:tmpl w:val="4BDA1C3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4F7702C"/>
    <w:multiLevelType w:val="multilevel"/>
    <w:tmpl w:val="74F7702C"/>
    <w:lvl w:ilvl="0" w:tentative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86779"/>
    <w:rsid w:val="08056A8C"/>
    <w:rsid w:val="0CD56934"/>
    <w:rsid w:val="0DA01146"/>
    <w:rsid w:val="105273AC"/>
    <w:rsid w:val="112A4DA1"/>
    <w:rsid w:val="124F61EB"/>
    <w:rsid w:val="13A86779"/>
    <w:rsid w:val="1A171566"/>
    <w:rsid w:val="1DBA5473"/>
    <w:rsid w:val="1F1A4EF4"/>
    <w:rsid w:val="1FB0427D"/>
    <w:rsid w:val="235F5D2A"/>
    <w:rsid w:val="25C30B01"/>
    <w:rsid w:val="25D65EDB"/>
    <w:rsid w:val="26222A03"/>
    <w:rsid w:val="2F436854"/>
    <w:rsid w:val="315D3463"/>
    <w:rsid w:val="39052895"/>
    <w:rsid w:val="3AD91B6C"/>
    <w:rsid w:val="3E2442CB"/>
    <w:rsid w:val="3FE6481B"/>
    <w:rsid w:val="43D111E7"/>
    <w:rsid w:val="44B714FA"/>
    <w:rsid w:val="45AD1EC2"/>
    <w:rsid w:val="49D52979"/>
    <w:rsid w:val="4B577D0E"/>
    <w:rsid w:val="4D356577"/>
    <w:rsid w:val="4E911429"/>
    <w:rsid w:val="4ECB7CA6"/>
    <w:rsid w:val="51652EBF"/>
    <w:rsid w:val="56B720B9"/>
    <w:rsid w:val="5A245037"/>
    <w:rsid w:val="5C4B079D"/>
    <w:rsid w:val="5C741B35"/>
    <w:rsid w:val="617311B6"/>
    <w:rsid w:val="62D17124"/>
    <w:rsid w:val="689B1862"/>
    <w:rsid w:val="69615456"/>
    <w:rsid w:val="6E2900F2"/>
    <w:rsid w:val="6E4D2ECF"/>
    <w:rsid w:val="6EE937B5"/>
    <w:rsid w:val="72454816"/>
    <w:rsid w:val="77941691"/>
    <w:rsid w:val="7A9456C6"/>
    <w:rsid w:val="7C36314C"/>
    <w:rsid w:val="7C8D1D3D"/>
    <w:rsid w:val="7DAB1CEA"/>
    <w:rsid w:val="7F56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/>
    </w:pPr>
    <w:rPr>
      <w:rFonts w:ascii="宋体" w:hAnsi="宋体"/>
      <w:sz w:val="24"/>
      <w:szCs w:val="30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黑体" w:cs="Times New Roman"/>
      <w:bCs/>
      <w:sz w:val="30"/>
      <w:szCs w:val="30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_GB2312" w:hAnsi="仿宋_GB2312" w:eastAsia="仿宋_GB2312" w:cs="仿宋_GB2312"/>
      <w:kern w:val="0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区卫生和计划生育局</Company>
  <Pages>3</Pages>
  <Words>1133</Words>
  <Characters>1162</Characters>
  <Lines>0</Lines>
  <Paragraphs>0</Paragraphs>
  <TotalTime>99</TotalTime>
  <ScaleCrop>false</ScaleCrop>
  <LinksUpToDate>false</LinksUpToDate>
  <CharactersWithSpaces>1168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2021-02-26T01:42:00Z</dcterms:created>
  <dc:creator>Administrator</dc:creator>
  <cp:lastModifiedBy>办公室</cp:lastModifiedBy>
  <dcterms:modified xsi:type="dcterms:W3CDTF">2026-04-28T08:02:58Z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eyJoZGlkIjoiOTc2OWE0Y2VkN2ZhMjBjMGU5ODljMTIzNmMwYzA4OWYiLCJ1c2VySWQiOiI2NDc4NTcyODAifQ==</vt:lpwstr>
  </property>
  <property fmtid="{D5CDD505-2E9C-101B-9397-08002B2CF9AE}" pid="4" name="ICV">
    <vt:lpwstr>CA2FA572D57D453AA2035E4E2599701A_12</vt:lpwstr>
  </property>
</Properties>
</file>