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12" w:line="291" w:lineRule="exact"/>
        <w:jc w:val="center"/>
        <w:rPr>
          <w:rFonts w:hint="default" w:ascii="宋体" w:hAnsi="宋体" w:eastAsia="宋体" w:cs="宋体"/>
          <w:color w:val="auto"/>
          <w:spacing w:val="1"/>
          <w:sz w:val="28"/>
          <w:szCs w:val="22"/>
          <w:highlight w:val="none"/>
          <w:lang w:val="en-US" w:eastAsia="zh-CN"/>
        </w:rPr>
      </w:pPr>
      <w:bookmarkStart w:id="9" w:name="_GoBack"/>
      <w:bookmarkEnd w:id="9"/>
      <w:r>
        <w:rPr>
          <w:rFonts w:hint="eastAsia" w:ascii="宋体" w:hAnsi="宋体" w:eastAsia="宋体" w:cs="宋体"/>
          <w:color w:val="auto"/>
          <w:spacing w:val="1"/>
          <w:sz w:val="52"/>
          <w:szCs w:val="52"/>
          <w:highlight w:val="none"/>
          <w:lang w:val="en-US" w:eastAsia="zh-CN"/>
        </w:rPr>
        <w:t>医疗设备维保服务项目需求书</w:t>
      </w:r>
    </w:p>
    <w:p>
      <w:pPr>
        <w:ind w:firstLine="480"/>
        <w:rPr>
          <w:rFonts w:ascii="宋体" w:hAnsi="宋体" w:eastAsia="宋体"/>
          <w:color w:val="auto"/>
          <w:highlight w:val="none"/>
        </w:rPr>
      </w:pPr>
    </w:p>
    <w:p>
      <w:pPr>
        <w:spacing w:line="288" w:lineRule="auto"/>
        <w:ind w:firstLine="480"/>
        <w:rPr>
          <w:rFonts w:ascii="宋体" w:hAnsi="宋体" w:eastAsia="宋体"/>
          <w:color w:val="auto"/>
          <w:highlight w:val="none"/>
        </w:rPr>
      </w:pPr>
      <w:r>
        <w:rPr>
          <w:rFonts w:ascii="宋体" w:hAnsi="宋体" w:eastAsia="宋体"/>
          <w:color w:val="auto"/>
          <w:highlight w:val="none"/>
        </w:rPr>
        <w:t>采购项目名称：</w:t>
      </w:r>
      <w:r>
        <w:rPr>
          <w:rFonts w:hint="eastAsia" w:ascii="宋体" w:hAnsi="宋体" w:eastAsia="宋体"/>
          <w:color w:val="auto"/>
          <w:highlight w:val="none"/>
        </w:rPr>
        <w:t>广州市天河区中医医院</w:t>
      </w:r>
      <w:r>
        <w:rPr>
          <w:rFonts w:ascii="宋体" w:hAnsi="宋体" w:eastAsia="宋体"/>
          <w:color w:val="auto"/>
          <w:highlight w:val="none"/>
        </w:rPr>
        <w:t>全院医疗设备技术维保服务项目</w:t>
      </w:r>
    </w:p>
    <w:p>
      <w:pPr>
        <w:spacing w:line="288" w:lineRule="auto"/>
        <w:ind w:firstLine="480"/>
        <w:rPr>
          <w:rFonts w:ascii="宋体" w:hAnsi="宋体" w:eastAsia="宋体"/>
          <w:color w:val="auto"/>
          <w:highlight w:val="none"/>
        </w:rPr>
      </w:pPr>
      <w:r>
        <w:rPr>
          <w:rFonts w:ascii="宋体" w:hAnsi="宋体" w:eastAsia="宋体"/>
          <w:color w:val="auto"/>
          <w:highlight w:val="none"/>
        </w:rPr>
        <w:t>采购方式：</w:t>
      </w:r>
      <w:r>
        <w:rPr>
          <w:rFonts w:hint="eastAsia" w:ascii="宋体" w:hAnsi="宋体" w:eastAsia="宋体"/>
          <w:color w:val="auto"/>
          <w:highlight w:val="none"/>
          <w:lang w:val="en-US" w:eastAsia="zh-CN"/>
        </w:rPr>
        <w:t>院内比选</w:t>
      </w:r>
      <w:r>
        <w:rPr>
          <w:rFonts w:ascii="宋体" w:hAnsi="宋体" w:eastAsia="宋体"/>
          <w:color w:val="auto"/>
          <w:highlight w:val="none"/>
        </w:rPr>
        <w:t xml:space="preserve"> </w:t>
      </w:r>
    </w:p>
    <w:p>
      <w:pPr>
        <w:spacing w:line="288" w:lineRule="auto"/>
        <w:ind w:firstLine="480"/>
        <w:rPr>
          <w:rFonts w:hint="default" w:ascii="宋体" w:hAnsi="宋体" w:eastAsia="宋体"/>
          <w:color w:val="auto"/>
          <w:highlight w:val="none"/>
          <w:lang w:val="en-US" w:eastAsia="zh-CN"/>
        </w:rPr>
      </w:pPr>
      <w:r>
        <w:rPr>
          <w:rFonts w:ascii="宋体" w:hAnsi="宋体" w:eastAsia="宋体"/>
          <w:color w:val="auto"/>
          <w:highlight w:val="none"/>
        </w:rPr>
        <w:t>预算金额：</w:t>
      </w:r>
      <w:r>
        <w:rPr>
          <w:rFonts w:hint="eastAsia" w:ascii="宋体" w:hAnsi="宋体" w:eastAsia="宋体"/>
          <w:color w:val="auto"/>
          <w:highlight w:val="none"/>
          <w:lang w:val="en-US" w:eastAsia="zh-CN"/>
        </w:rPr>
        <w:t>20万元</w:t>
      </w:r>
    </w:p>
    <w:p>
      <w:pPr>
        <w:spacing w:line="288" w:lineRule="auto"/>
        <w:ind w:firstLine="480"/>
        <w:rPr>
          <w:rFonts w:ascii="宋体" w:hAnsi="宋体" w:eastAsia="宋体"/>
          <w:color w:val="auto"/>
          <w:highlight w:val="none"/>
        </w:rPr>
      </w:pPr>
      <w:r>
        <w:rPr>
          <w:rFonts w:hint="eastAsia" w:ascii="宋体" w:hAnsi="宋体" w:eastAsia="宋体"/>
          <w:color w:val="auto"/>
          <w:highlight w:val="none"/>
        </w:rPr>
        <w:t>服务期限：</w:t>
      </w:r>
      <w:r>
        <w:rPr>
          <w:rFonts w:ascii="宋体" w:hAnsi="宋体" w:eastAsia="宋体"/>
          <w:color w:val="auto"/>
          <w:highlight w:val="none"/>
        </w:rPr>
        <w:t>本期服务有效期为</w:t>
      </w:r>
      <w:r>
        <w:rPr>
          <w:rFonts w:ascii="宋体" w:hAnsi="宋体" w:eastAsia="宋体"/>
          <w:color w:val="auto"/>
          <w:highlight w:val="none"/>
          <w:u w:val="single"/>
        </w:rPr>
        <w:t xml:space="preserve">  </w:t>
      </w:r>
      <w:r>
        <w:rPr>
          <w:rFonts w:hint="eastAsia" w:ascii="宋体" w:hAnsi="宋体" w:eastAsia="宋体"/>
          <w:color w:val="auto"/>
          <w:highlight w:val="none"/>
          <w:u w:val="single"/>
          <w:lang w:val="en-US" w:eastAsia="zh-CN"/>
        </w:rPr>
        <w:t>1</w:t>
      </w:r>
      <w:r>
        <w:rPr>
          <w:rFonts w:ascii="宋体" w:hAnsi="宋体" w:eastAsia="宋体"/>
          <w:color w:val="auto"/>
          <w:highlight w:val="none"/>
          <w:u w:val="single"/>
        </w:rPr>
        <w:t xml:space="preserve">  </w:t>
      </w:r>
      <w:r>
        <w:rPr>
          <w:rFonts w:hint="eastAsia" w:ascii="宋体" w:hAnsi="宋体" w:eastAsia="宋体"/>
          <w:color w:val="auto"/>
          <w:highlight w:val="none"/>
        </w:rPr>
        <w:t>年</w:t>
      </w:r>
      <w:r>
        <w:rPr>
          <w:rFonts w:ascii="宋体" w:hAnsi="宋体" w:eastAsia="宋体"/>
          <w:color w:val="auto"/>
          <w:highlight w:val="none"/>
        </w:rPr>
        <w:t>。</w:t>
      </w:r>
    </w:p>
    <w:p>
      <w:pPr>
        <w:spacing w:line="288" w:lineRule="auto"/>
        <w:ind w:firstLine="480"/>
        <w:rPr>
          <w:rFonts w:ascii="宋体" w:hAnsi="宋体" w:eastAsia="宋体" w:cs="宋体"/>
          <w:color w:val="auto"/>
          <w:spacing w:val="1"/>
          <w:sz w:val="28"/>
          <w:szCs w:val="22"/>
          <w:highlight w:val="none"/>
        </w:rPr>
      </w:pPr>
      <w:r>
        <w:rPr>
          <w:rFonts w:hint="eastAsia" w:ascii="宋体" w:hAnsi="宋体" w:eastAsia="宋体"/>
          <w:color w:val="auto"/>
          <w:highlight w:val="none"/>
        </w:rPr>
        <w:t>服务地点：广州市天河区中医医院</w:t>
      </w:r>
    </w:p>
    <w:p>
      <w:pPr>
        <w:spacing w:line="288" w:lineRule="auto"/>
        <w:ind w:firstLine="482"/>
        <w:rPr>
          <w:rFonts w:ascii="宋体" w:hAnsi="宋体" w:eastAsia="宋体"/>
          <w:b/>
          <w:color w:val="auto"/>
          <w:highlight w:val="none"/>
        </w:rPr>
      </w:pPr>
    </w:p>
    <w:p>
      <w:pPr>
        <w:spacing w:line="288" w:lineRule="auto"/>
        <w:ind w:firstLine="482"/>
        <w:rPr>
          <w:rFonts w:ascii="宋体" w:hAnsi="宋体" w:eastAsia="宋体"/>
          <w:color w:val="auto"/>
          <w:highlight w:val="none"/>
        </w:rPr>
      </w:pPr>
      <w:r>
        <w:rPr>
          <w:rFonts w:ascii="宋体" w:hAnsi="宋体" w:eastAsia="宋体"/>
          <w:b/>
          <w:color w:val="auto"/>
          <w:highlight w:val="none"/>
        </w:rPr>
        <w:t>一、项目概述</w:t>
      </w:r>
    </w:p>
    <w:p>
      <w:pPr>
        <w:spacing w:line="288" w:lineRule="auto"/>
        <w:ind w:firstLine="420"/>
        <w:rPr>
          <w:rFonts w:ascii="宋体" w:hAnsi="宋体" w:eastAsia="宋体"/>
          <w:color w:val="auto"/>
          <w:highlight w:val="none"/>
        </w:rPr>
      </w:pPr>
      <w:r>
        <w:rPr>
          <w:rFonts w:ascii="宋体" w:hAnsi="宋体" w:eastAsia="宋体"/>
          <w:color w:val="auto"/>
          <w:highlight w:val="none"/>
        </w:rPr>
        <w:t>为了保证医院</w:t>
      </w:r>
      <w:bookmarkStart w:id="0" w:name="OLE_LINK1"/>
      <w:bookmarkStart w:id="1" w:name="OLE_LINK2"/>
      <w:r>
        <w:rPr>
          <w:rFonts w:ascii="宋体" w:hAnsi="宋体" w:eastAsia="宋体"/>
          <w:color w:val="auto"/>
          <w:highlight w:val="none"/>
        </w:rPr>
        <w:t>使</w:t>
      </w:r>
      <w:bookmarkEnd w:id="0"/>
      <w:bookmarkEnd w:id="1"/>
      <w:r>
        <w:rPr>
          <w:rFonts w:ascii="宋体" w:hAnsi="宋体" w:eastAsia="宋体"/>
          <w:color w:val="auto"/>
          <w:highlight w:val="none"/>
        </w:rPr>
        <w:t>用的医</w:t>
      </w:r>
      <w:bookmarkStart w:id="2" w:name="OLE_LINK4"/>
      <w:bookmarkStart w:id="3" w:name="OLE_LINK5"/>
      <w:r>
        <w:rPr>
          <w:rFonts w:ascii="宋体" w:hAnsi="宋体" w:eastAsia="宋体"/>
          <w:color w:val="auto"/>
          <w:highlight w:val="none"/>
        </w:rPr>
        <w:t>疗</w:t>
      </w:r>
      <w:bookmarkEnd w:id="2"/>
      <w:bookmarkEnd w:id="3"/>
      <w:r>
        <w:rPr>
          <w:rFonts w:ascii="宋体" w:hAnsi="宋体" w:eastAsia="宋体"/>
          <w:color w:val="auto"/>
          <w:highlight w:val="none"/>
        </w:rPr>
        <w:t>设备可以正常投</w:t>
      </w:r>
      <w:r>
        <w:rPr>
          <w:rFonts w:hint="eastAsia" w:ascii="宋体" w:hAnsi="宋体" w:eastAsia="宋体"/>
          <w:color w:val="auto"/>
          <w:highlight w:val="none"/>
        </w:rPr>
        <w:t>入</w:t>
      </w:r>
      <w:r>
        <w:rPr>
          <w:rFonts w:ascii="宋体" w:hAnsi="宋体" w:eastAsia="宋体"/>
          <w:color w:val="auto"/>
          <w:highlight w:val="none"/>
        </w:rPr>
        <w:t>临床使用，更好地提高</w:t>
      </w:r>
      <w:bookmarkStart w:id="4" w:name="OLE_LINK3"/>
      <w:r>
        <w:rPr>
          <w:rFonts w:ascii="宋体" w:hAnsi="宋体" w:eastAsia="宋体"/>
          <w:color w:val="auto"/>
          <w:highlight w:val="none"/>
        </w:rPr>
        <w:t>设备</w:t>
      </w:r>
      <w:bookmarkEnd w:id="4"/>
      <w:r>
        <w:rPr>
          <w:rFonts w:ascii="宋体" w:hAnsi="宋体" w:eastAsia="宋体"/>
          <w:color w:val="auto"/>
          <w:highlight w:val="none"/>
        </w:rPr>
        <w:t>的使用率，延长设备的使用寿命，节约维修成本，保证医疗设备的开机率，中标人须按国家、行业的标准要求对医院的医疗设备提供维保服务。</w:t>
      </w:r>
    </w:p>
    <w:p>
      <w:pPr>
        <w:numPr>
          <w:ilvl w:val="0"/>
          <w:numId w:val="2"/>
        </w:numPr>
        <w:spacing w:line="288" w:lineRule="auto"/>
        <w:ind w:firstLine="482"/>
        <w:rPr>
          <w:rFonts w:ascii="宋体" w:hAnsi="宋体" w:eastAsia="宋体"/>
          <w:b/>
          <w:color w:val="auto"/>
          <w:highlight w:val="none"/>
        </w:rPr>
      </w:pPr>
      <w:r>
        <w:rPr>
          <w:rFonts w:ascii="宋体" w:hAnsi="宋体" w:eastAsia="宋体"/>
          <w:b/>
          <w:color w:val="auto"/>
          <w:highlight w:val="none"/>
        </w:rPr>
        <w:t>维修保养项目内容</w:t>
      </w:r>
    </w:p>
    <w:p>
      <w:pPr>
        <w:numPr>
          <w:ilvl w:val="-1"/>
          <w:numId w:val="0"/>
        </w:numPr>
        <w:spacing w:line="288" w:lineRule="auto"/>
        <w:ind w:firstLine="480" w:firstLineChars="200"/>
        <w:rPr>
          <w:rFonts w:ascii="宋体" w:hAnsi="宋体" w:eastAsia="宋体"/>
          <w:b/>
          <w:color w:val="auto"/>
          <w:highlight w:val="none"/>
        </w:rPr>
      </w:pPr>
      <w:r>
        <w:rPr>
          <w:rFonts w:hint="eastAsia" w:ascii="宋体" w:hAnsi="宋体" w:eastAsia="宋体" w:cs="Times New Roman"/>
          <w:color w:val="auto"/>
          <w:sz w:val="24"/>
          <w:szCs w:val="24"/>
          <w:highlight w:val="none"/>
          <w:lang w:val="en-US" w:eastAsia="zh-CN"/>
        </w:rPr>
        <w:t>1、</w:t>
      </w:r>
      <w:r>
        <w:rPr>
          <w:rFonts w:hint="eastAsia" w:hAnsi="宋体"/>
          <w:color w:val="auto"/>
          <w:sz w:val="21"/>
          <w:szCs w:val="21"/>
          <w:highlight w:val="none"/>
        </w:rPr>
        <w:t>服务范围：</w:t>
      </w:r>
    </w:p>
    <w:tbl>
      <w:tblPr>
        <w:tblStyle w:val="14"/>
        <w:tblW w:w="44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904"/>
        <w:gridCol w:w="1571"/>
        <w:gridCol w:w="1171"/>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083" w:type="pct"/>
            <w:noWrap w:val="0"/>
            <w:vAlign w:val="center"/>
          </w:tcPr>
          <w:p>
            <w:pPr>
              <w:spacing w:line="360" w:lineRule="auto"/>
              <w:ind w:left="0" w:leftChars="0" w:firstLine="0" w:firstLineChars="0"/>
              <w:jc w:val="center"/>
              <w:rPr>
                <w:rFonts w:hint="eastAsia" w:hAnsi="宋体"/>
                <w:color w:val="auto"/>
                <w:sz w:val="21"/>
                <w:szCs w:val="21"/>
                <w:highlight w:val="none"/>
              </w:rPr>
            </w:pPr>
            <w:r>
              <w:rPr>
                <w:rFonts w:hint="eastAsia"/>
                <w:color w:val="auto"/>
                <w:sz w:val="21"/>
                <w:szCs w:val="21"/>
                <w:highlight w:val="none"/>
                <w:lang w:val="en-US" w:eastAsia="zh-CN"/>
              </w:rPr>
              <w:t>服务</w:t>
            </w:r>
            <w:r>
              <w:rPr>
                <w:rFonts w:hint="eastAsia" w:hAnsi="宋体"/>
                <w:color w:val="auto"/>
                <w:sz w:val="21"/>
                <w:szCs w:val="21"/>
                <w:highlight w:val="none"/>
              </w:rPr>
              <w:t>名称</w:t>
            </w:r>
          </w:p>
        </w:tc>
        <w:tc>
          <w:tcPr>
            <w:tcW w:w="523" w:type="pct"/>
            <w:noWrap w:val="0"/>
            <w:vAlign w:val="center"/>
          </w:tcPr>
          <w:p>
            <w:pPr>
              <w:spacing w:line="360" w:lineRule="auto"/>
              <w:ind w:left="0" w:leftChars="0" w:firstLine="0" w:firstLineChars="0"/>
              <w:jc w:val="center"/>
              <w:rPr>
                <w:rFonts w:hint="eastAsia" w:hAnsi="宋体"/>
                <w:color w:val="auto"/>
                <w:sz w:val="21"/>
                <w:szCs w:val="21"/>
                <w:highlight w:val="none"/>
              </w:rPr>
            </w:pPr>
            <w:r>
              <w:rPr>
                <w:rFonts w:hint="eastAsia" w:hAnsi="宋体"/>
                <w:color w:val="auto"/>
                <w:sz w:val="21"/>
                <w:szCs w:val="21"/>
                <w:highlight w:val="none"/>
              </w:rPr>
              <w:t>数量</w:t>
            </w:r>
          </w:p>
        </w:tc>
        <w:tc>
          <w:tcPr>
            <w:tcW w:w="909" w:type="pct"/>
            <w:noWrap w:val="0"/>
            <w:vAlign w:val="center"/>
          </w:tcPr>
          <w:p>
            <w:pPr>
              <w:spacing w:line="360" w:lineRule="auto"/>
              <w:ind w:left="0" w:leftChars="0" w:firstLine="0" w:firstLineChars="0"/>
              <w:jc w:val="center"/>
              <w:rPr>
                <w:rFonts w:hint="eastAsia" w:hAnsi="宋体"/>
                <w:color w:val="auto"/>
                <w:sz w:val="21"/>
                <w:szCs w:val="21"/>
                <w:highlight w:val="none"/>
              </w:rPr>
            </w:pPr>
            <w:r>
              <w:rPr>
                <w:rFonts w:hint="eastAsia" w:hAnsi="宋体"/>
                <w:color w:val="auto"/>
                <w:sz w:val="21"/>
                <w:szCs w:val="21"/>
                <w:highlight w:val="none"/>
              </w:rPr>
              <w:t>预算</w:t>
            </w:r>
          </w:p>
          <w:p>
            <w:pPr>
              <w:spacing w:line="360" w:lineRule="auto"/>
              <w:ind w:left="0" w:leftChars="0" w:firstLine="0" w:firstLineChars="0"/>
              <w:jc w:val="center"/>
              <w:rPr>
                <w:rFonts w:hint="default" w:hAnsi="宋体" w:eastAsia="宋体"/>
                <w:color w:val="auto"/>
                <w:sz w:val="21"/>
                <w:szCs w:val="21"/>
                <w:highlight w:val="none"/>
                <w:lang w:val="en-US" w:eastAsia="zh-CN"/>
              </w:rPr>
            </w:pPr>
            <w:r>
              <w:rPr>
                <w:rFonts w:hint="eastAsia"/>
                <w:color w:val="auto"/>
                <w:sz w:val="21"/>
                <w:szCs w:val="21"/>
                <w:highlight w:val="none"/>
                <w:lang w:val="en-US" w:eastAsia="zh-CN"/>
              </w:rPr>
              <w:t>（人民币万元）</w:t>
            </w:r>
          </w:p>
        </w:tc>
        <w:tc>
          <w:tcPr>
            <w:tcW w:w="677" w:type="pct"/>
            <w:noWrap w:val="0"/>
            <w:vAlign w:val="center"/>
          </w:tcPr>
          <w:p>
            <w:pPr>
              <w:spacing w:line="360" w:lineRule="auto"/>
              <w:ind w:left="0" w:leftChars="0" w:firstLine="0" w:firstLineChars="0"/>
              <w:jc w:val="center"/>
              <w:rPr>
                <w:rFonts w:hint="eastAsia" w:hAnsi="宋体"/>
                <w:color w:val="auto"/>
                <w:sz w:val="21"/>
                <w:szCs w:val="21"/>
                <w:highlight w:val="none"/>
              </w:rPr>
            </w:pPr>
            <w:r>
              <w:rPr>
                <w:rFonts w:hint="eastAsia"/>
                <w:color w:val="auto"/>
                <w:sz w:val="21"/>
                <w:szCs w:val="21"/>
                <w:highlight w:val="none"/>
                <w:lang w:val="en-US" w:eastAsia="zh-CN"/>
              </w:rPr>
              <w:t>服务期限</w:t>
            </w:r>
          </w:p>
        </w:tc>
        <w:tc>
          <w:tcPr>
            <w:tcW w:w="1806" w:type="pct"/>
            <w:noWrap w:val="0"/>
            <w:vAlign w:val="center"/>
          </w:tcPr>
          <w:p>
            <w:pPr>
              <w:spacing w:line="360" w:lineRule="auto"/>
              <w:ind w:left="0" w:leftChars="0"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1083" w:type="pct"/>
            <w:noWrap w:val="0"/>
            <w:vAlign w:val="center"/>
          </w:tcPr>
          <w:p>
            <w:pPr>
              <w:spacing w:line="360" w:lineRule="auto"/>
              <w:ind w:left="0" w:leftChars="0" w:firstLine="0" w:firstLineChars="0"/>
              <w:jc w:val="center"/>
              <w:rPr>
                <w:rFonts w:hint="default" w:ascii="宋体" w:hAnsi="宋体" w:eastAsia="宋体" w:cs="Times New Roman"/>
                <w:color w:val="auto"/>
                <w:sz w:val="21"/>
                <w:szCs w:val="21"/>
                <w:highlight w:val="none"/>
                <w:lang w:val="en-US" w:eastAsia="zh-CN"/>
              </w:rPr>
            </w:pPr>
            <w:r>
              <w:rPr>
                <w:rFonts w:hint="default" w:ascii="宋体" w:hAnsi="宋体" w:eastAsia="宋体" w:cs="Times New Roman"/>
                <w:color w:val="auto"/>
                <w:sz w:val="21"/>
                <w:szCs w:val="21"/>
                <w:highlight w:val="none"/>
                <w:lang w:val="en-US" w:eastAsia="zh-CN"/>
              </w:rPr>
              <w:t>全院医疗设备维保服务</w:t>
            </w:r>
          </w:p>
        </w:tc>
        <w:tc>
          <w:tcPr>
            <w:tcW w:w="523" w:type="pct"/>
            <w:noWrap w:val="0"/>
            <w:vAlign w:val="center"/>
          </w:tcPr>
          <w:p>
            <w:pPr>
              <w:spacing w:line="360" w:lineRule="auto"/>
              <w:ind w:left="0" w:leftChars="0" w:firstLine="0" w:firstLineChars="0"/>
              <w:jc w:val="center"/>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rPr>
              <w:t>1项</w:t>
            </w:r>
          </w:p>
        </w:tc>
        <w:tc>
          <w:tcPr>
            <w:tcW w:w="909" w:type="pct"/>
            <w:noWrap w:val="0"/>
            <w:vAlign w:val="center"/>
          </w:tcPr>
          <w:p>
            <w:pPr>
              <w:spacing w:line="360" w:lineRule="auto"/>
              <w:ind w:left="0" w:leftChars="0" w:firstLine="0" w:firstLineChars="0"/>
              <w:jc w:val="center"/>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20</w:t>
            </w:r>
          </w:p>
        </w:tc>
        <w:tc>
          <w:tcPr>
            <w:tcW w:w="677" w:type="pct"/>
            <w:noWrap w:val="0"/>
            <w:vAlign w:val="center"/>
          </w:tcPr>
          <w:p>
            <w:pPr>
              <w:spacing w:line="360" w:lineRule="auto"/>
              <w:ind w:left="0" w:leftChars="0" w:firstLine="0" w:firstLineChars="0"/>
              <w:jc w:val="center"/>
              <w:rPr>
                <w:rFonts w:hint="eastAsia" w:ascii="宋体" w:hAnsi="宋体" w:eastAsia="宋体" w:cs="Times New Roman"/>
                <w:color w:val="auto"/>
                <w:sz w:val="21"/>
                <w:szCs w:val="21"/>
                <w:highlight w:val="none"/>
                <w:lang w:eastAsia="zh-CN"/>
              </w:rPr>
            </w:pPr>
            <w:r>
              <w:rPr>
                <w:rFonts w:hint="eastAsia" w:ascii="宋体" w:hAnsi="宋体" w:eastAsia="宋体" w:cs="宋体"/>
                <w:color w:val="auto"/>
                <w:sz w:val="24"/>
                <w:szCs w:val="24"/>
                <w:highlight w:val="none"/>
                <w:lang w:val="en-US" w:eastAsia="zh-CN"/>
              </w:rPr>
              <w:t>1</w:t>
            </w:r>
            <w:r>
              <w:rPr>
                <w:rFonts w:hint="default" w:ascii="宋体" w:hAnsi="宋体" w:eastAsia="宋体" w:cs="宋体"/>
                <w:color w:val="auto"/>
                <w:sz w:val="24"/>
                <w:szCs w:val="24"/>
                <w:highlight w:val="none"/>
                <w:lang w:val="en-US" w:eastAsia="zh-CN"/>
              </w:rPr>
              <w:t>年</w:t>
            </w:r>
          </w:p>
        </w:tc>
        <w:tc>
          <w:tcPr>
            <w:tcW w:w="1806" w:type="pct"/>
            <w:noWrap w:val="0"/>
            <w:vAlign w:val="center"/>
          </w:tcPr>
          <w:p>
            <w:pPr>
              <w:numPr>
                <w:ilvl w:val="0"/>
                <w:numId w:val="3"/>
              </w:numPr>
              <w:spacing w:line="360" w:lineRule="auto"/>
              <w:ind w:left="0" w:leftChars="0" w:firstLine="0" w:firstLineChars="0"/>
              <w:jc w:val="center"/>
              <w:rPr>
                <w:rFonts w:hint="eastAsia" w:ascii="宋体" w:hAnsi="宋体" w:eastAsia="宋体" w:cs="Times New Roman"/>
                <w:color w:val="auto"/>
                <w:sz w:val="21"/>
                <w:szCs w:val="21"/>
                <w:highlight w:val="none"/>
              </w:rPr>
            </w:pPr>
            <w:r>
              <w:rPr>
                <w:rFonts w:hint="eastAsia" w:ascii="宋体" w:hAnsi="宋体" w:eastAsia="宋体"/>
                <w:color w:val="auto"/>
                <w:sz w:val="21"/>
                <w:szCs w:val="21"/>
                <w:highlight w:val="none"/>
              </w:rPr>
              <w:t>全院医疗设备（含MR、放射设备）技术维保服务（除配件外人工、差旅、税金等费用）。</w:t>
            </w:r>
          </w:p>
          <w:p>
            <w:pPr>
              <w:numPr>
                <w:ilvl w:val="0"/>
                <w:numId w:val="3"/>
              </w:numPr>
              <w:spacing w:line="360" w:lineRule="auto"/>
              <w:ind w:left="0" w:leftChars="0" w:firstLine="0" w:firstLineChars="0"/>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全院设备概况：全院在用医疗设备1000余台（件），总金额约为人民币 1亿元，</w:t>
            </w:r>
          </w:p>
          <w:p>
            <w:pPr>
              <w:spacing w:line="360" w:lineRule="auto"/>
              <w:ind w:left="0" w:leftChars="0" w:firstLine="0" w:firstLineChars="0"/>
              <w:jc w:val="center"/>
              <w:rPr>
                <w:rFonts w:hint="eastAsia" w:ascii="宋体" w:hAnsi="宋体" w:eastAsia="宋体" w:cs="Times New Roman"/>
                <w:color w:val="auto"/>
                <w:sz w:val="21"/>
                <w:szCs w:val="21"/>
                <w:highlight w:val="none"/>
              </w:rPr>
            </w:pPr>
            <w:r>
              <w:rPr>
                <w:rFonts w:hint="eastAsia" w:ascii="宋体" w:hAnsi="宋体" w:eastAsia="宋体"/>
                <w:color w:val="auto"/>
                <w:sz w:val="21"/>
                <w:szCs w:val="21"/>
                <w:highlight w:val="none"/>
              </w:rPr>
              <w:t>分布在院本部、智谷院区及其他医疗点</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lang w:val="en-US" w:eastAsia="zh-CN"/>
              </w:rPr>
              <w:t>具体数量与金额随着医院业务发展而变化</w:t>
            </w:r>
            <w:r>
              <w:rPr>
                <w:rFonts w:hint="eastAsia" w:ascii="宋体" w:hAnsi="宋体" w:eastAsia="宋体"/>
                <w:color w:val="auto"/>
                <w:sz w:val="21"/>
                <w:szCs w:val="21"/>
                <w:highlight w:val="none"/>
              </w:rPr>
              <w:t>。</w:t>
            </w:r>
          </w:p>
        </w:tc>
      </w:tr>
    </w:tbl>
    <w:p>
      <w:pPr>
        <w:widowControl w:val="0"/>
        <w:autoSpaceDE w:val="0"/>
        <w:autoSpaceDN w:val="0"/>
        <w:adjustRightInd w:val="0"/>
        <w:spacing w:line="360" w:lineRule="auto"/>
        <w:ind w:firstLine="480" w:firstLineChars="200"/>
        <w:rPr>
          <w:rFonts w:hint="default" w:ascii="宋体" w:hAnsi="宋体" w:eastAsia="宋体"/>
          <w:color w:val="auto"/>
          <w:highlight w:val="none"/>
          <w:lang w:val="en-US" w:eastAsia="zh-CN"/>
        </w:rPr>
      </w:pPr>
    </w:p>
    <w:p>
      <w:pPr>
        <w:ind w:firstLine="480" w:firstLineChars="200"/>
        <w:rPr>
          <w:rFonts w:hint="default" w:ascii="宋体" w:hAnsi="宋体" w:eastAsia="宋体"/>
          <w:color w:val="auto"/>
          <w:highlight w:val="none"/>
          <w:lang w:val="en-US" w:eastAsia="zh-CN"/>
        </w:rPr>
      </w:pPr>
      <w:r>
        <w:rPr>
          <w:rFonts w:hint="default" w:ascii="宋体" w:hAnsi="宋体" w:eastAsia="宋体"/>
          <w:color w:val="auto"/>
          <w:highlight w:val="none"/>
          <w:lang w:val="en-US" w:eastAsia="zh-CN"/>
        </w:rPr>
        <w:t>二、投标人资格：</w:t>
      </w:r>
    </w:p>
    <w:p>
      <w:pPr>
        <w:ind w:firstLine="480" w:firstLineChars="200"/>
        <w:rPr>
          <w:rFonts w:hint="default" w:ascii="宋体" w:hAnsi="宋体" w:eastAsia="宋体"/>
          <w:color w:val="auto"/>
          <w:highlight w:val="none"/>
          <w:lang w:val="en-US" w:eastAsia="zh-CN"/>
        </w:rPr>
      </w:pPr>
      <w:r>
        <w:rPr>
          <w:rFonts w:hint="default" w:ascii="宋体" w:hAnsi="宋体" w:eastAsia="宋体"/>
          <w:color w:val="auto"/>
          <w:highlight w:val="none"/>
          <w:lang w:val="en-US" w:eastAsia="zh-CN"/>
        </w:rPr>
        <w:t>1.必须是具有独立承担民事责任能力的在中华人民共和国境内注册的法人或其他组织或自然人，分公司响应的，必须由具有法人资格的总公司授权；</w:t>
      </w:r>
    </w:p>
    <w:p>
      <w:pPr>
        <w:ind w:firstLine="480" w:firstLineChars="200"/>
        <w:rPr>
          <w:rFonts w:hint="default" w:ascii="宋体" w:hAnsi="宋体" w:eastAsia="宋体"/>
          <w:color w:val="auto"/>
          <w:highlight w:val="none"/>
          <w:lang w:val="en-US" w:eastAsia="zh-CN"/>
        </w:rPr>
      </w:pPr>
      <w:r>
        <w:rPr>
          <w:rFonts w:hint="default" w:ascii="宋体" w:hAnsi="宋体" w:eastAsia="宋体"/>
          <w:color w:val="auto"/>
          <w:highlight w:val="none"/>
          <w:lang w:val="en-US" w:eastAsia="zh-CN"/>
        </w:rPr>
        <w:t>2. 具备《中华人民共和国政府采购法》第二十二条资格条件；</w:t>
      </w:r>
    </w:p>
    <w:p>
      <w:pPr>
        <w:ind w:firstLine="480" w:firstLineChars="200"/>
        <w:rPr>
          <w:rFonts w:hint="default" w:ascii="宋体" w:hAnsi="宋体" w:eastAsia="宋体"/>
          <w:color w:val="auto"/>
          <w:highlight w:val="none"/>
          <w:lang w:val="en-US" w:eastAsia="zh-CN"/>
        </w:rPr>
      </w:pPr>
      <w:r>
        <w:rPr>
          <w:rFonts w:hint="default" w:ascii="宋体" w:hAnsi="宋体" w:eastAsia="宋体"/>
          <w:color w:val="auto"/>
          <w:highlight w:val="none"/>
          <w:lang w:val="en-US" w:eastAsia="zh-CN"/>
        </w:rPr>
        <w:t>2.1 提供在中华人民共和国境内有效的执照（或证书）副本、组织机构代码证、税务登记证（国税、地税）复印件或三证合一证明文件复印件证明，供应商需提供完整的最新股东信息（若有）。分公司响应的，必须提供总公司的营业执照副本复印件及总公司针对本项目投标的授权书原件；如供应商为自然人的需提供自然人身份证明；</w:t>
      </w:r>
    </w:p>
    <w:p>
      <w:pPr>
        <w:ind w:firstLine="480" w:firstLineChars="200"/>
        <w:rPr>
          <w:rFonts w:hint="default" w:ascii="宋体" w:hAnsi="宋体" w:eastAsia="宋体"/>
          <w:color w:val="auto"/>
          <w:highlight w:val="none"/>
          <w:lang w:val="en-US" w:eastAsia="zh-CN"/>
        </w:rPr>
      </w:pPr>
      <w:r>
        <w:rPr>
          <w:rFonts w:hint="default" w:ascii="宋体" w:hAnsi="宋体" w:eastAsia="宋体"/>
          <w:color w:val="auto"/>
          <w:highlight w:val="none"/>
          <w:lang w:val="en-US" w:eastAsia="zh-CN"/>
        </w:rPr>
        <w:t>2.2 具有良好的商业信誉和健全的财务会计制度（提供资格文件声明函）；</w:t>
      </w:r>
    </w:p>
    <w:p>
      <w:pPr>
        <w:ind w:firstLine="480" w:firstLineChars="200"/>
        <w:rPr>
          <w:rFonts w:hint="default" w:ascii="宋体" w:hAnsi="宋体" w:eastAsia="宋体"/>
          <w:color w:val="auto"/>
          <w:highlight w:val="none"/>
          <w:lang w:val="en-US" w:eastAsia="zh-CN"/>
        </w:rPr>
      </w:pPr>
      <w:r>
        <w:rPr>
          <w:rFonts w:hint="default" w:ascii="宋体" w:hAnsi="宋体" w:eastAsia="宋体"/>
          <w:color w:val="auto"/>
          <w:highlight w:val="none"/>
          <w:lang w:val="en-US" w:eastAsia="zh-CN"/>
        </w:rPr>
        <w:t>2.3 具有履行合同所必需的设备和专业技术能力（提供资格文件声明函）；</w:t>
      </w:r>
    </w:p>
    <w:p>
      <w:pPr>
        <w:ind w:firstLine="480" w:firstLineChars="200"/>
        <w:rPr>
          <w:rFonts w:hint="default" w:ascii="宋体" w:hAnsi="宋体" w:eastAsia="宋体"/>
          <w:color w:val="auto"/>
          <w:highlight w:val="none"/>
          <w:lang w:val="en-US" w:eastAsia="zh-CN"/>
        </w:rPr>
      </w:pPr>
      <w:r>
        <w:rPr>
          <w:rFonts w:hint="default" w:ascii="宋体" w:hAnsi="宋体" w:eastAsia="宋体"/>
          <w:color w:val="auto"/>
          <w:highlight w:val="none"/>
          <w:lang w:val="en-US" w:eastAsia="zh-CN"/>
        </w:rPr>
        <w:t>2.4 有依法缴纳税收和社会保障资金的良好记录（提供资格文件声明函）；</w:t>
      </w:r>
    </w:p>
    <w:p>
      <w:pPr>
        <w:ind w:firstLine="480" w:firstLineChars="200"/>
        <w:rPr>
          <w:rFonts w:hint="default" w:ascii="宋体" w:hAnsi="宋体" w:eastAsia="宋体"/>
          <w:color w:val="auto"/>
          <w:highlight w:val="none"/>
          <w:lang w:val="en-US" w:eastAsia="zh-CN"/>
        </w:rPr>
      </w:pPr>
      <w:r>
        <w:rPr>
          <w:rFonts w:hint="default" w:ascii="宋体" w:hAnsi="宋体" w:eastAsia="宋体"/>
          <w:color w:val="auto"/>
          <w:highlight w:val="none"/>
          <w:lang w:val="en-US" w:eastAsia="zh-CN"/>
        </w:rPr>
        <w:t>2.5 参加政府采购活动前三年内，在经营活动中没有重大违法记录【重大违法记录，是指供应商因违法经营受到刑事处罚或者责令停产停业、吊销许可证或者执照、较大数额罚款等行政处罚。（“较大数额罚款”认定为200万元以上的罚款，法律、行政法规以及国务院有关部门明确规定相关领域“较大数额罚款”标准高于200万元的，从其规定。）】（提供资格文件声明函）；</w:t>
      </w:r>
    </w:p>
    <w:p>
      <w:pPr>
        <w:ind w:firstLine="480" w:firstLineChars="200"/>
        <w:rPr>
          <w:rFonts w:hint="default" w:ascii="宋体" w:hAnsi="宋体" w:eastAsia="宋体"/>
          <w:color w:val="auto"/>
          <w:highlight w:val="none"/>
          <w:lang w:val="en-US" w:eastAsia="zh-CN"/>
        </w:rPr>
      </w:pPr>
      <w:r>
        <w:rPr>
          <w:rFonts w:hint="default" w:ascii="宋体" w:hAnsi="宋体" w:eastAsia="宋体"/>
          <w:color w:val="auto"/>
          <w:highlight w:val="none"/>
          <w:lang w:val="en-US" w:eastAsia="zh-CN"/>
        </w:rPr>
        <w:t>2.6 法律、行政法规规定的其他条件（提供资格文件声明函）。</w:t>
      </w:r>
    </w:p>
    <w:p>
      <w:pPr>
        <w:ind w:firstLine="480" w:firstLineChars="200"/>
        <w:rPr>
          <w:rFonts w:hint="default" w:ascii="宋体" w:hAnsi="宋体" w:eastAsia="宋体"/>
          <w:color w:val="auto"/>
          <w:highlight w:val="none"/>
          <w:lang w:val="en-US" w:eastAsia="zh-CN"/>
        </w:rPr>
      </w:pPr>
      <w:r>
        <w:rPr>
          <w:rFonts w:hint="default" w:ascii="宋体" w:hAnsi="宋体" w:eastAsia="宋体"/>
          <w:color w:val="auto"/>
          <w:highlight w:val="none"/>
          <w:lang w:val="en-US" w:eastAsia="zh-CN"/>
        </w:rPr>
        <w:t>3. 不同的供应商之间有下列情形之一的，不接受作为参与同一采购项目竞争的供应商（提供资格文件声明函）：</w:t>
      </w:r>
    </w:p>
    <w:p>
      <w:pPr>
        <w:ind w:firstLine="480" w:firstLineChars="200"/>
        <w:rPr>
          <w:rFonts w:hint="default" w:ascii="宋体" w:hAnsi="宋体" w:eastAsia="宋体"/>
          <w:color w:val="auto"/>
          <w:highlight w:val="none"/>
          <w:lang w:val="en-US" w:eastAsia="zh-CN"/>
        </w:rPr>
      </w:pPr>
      <w:r>
        <w:rPr>
          <w:rFonts w:hint="default" w:ascii="宋体" w:hAnsi="宋体" w:eastAsia="宋体"/>
          <w:color w:val="auto"/>
          <w:highlight w:val="none"/>
          <w:lang w:val="en-US" w:eastAsia="zh-CN"/>
        </w:rPr>
        <w:t>3.1 法定代表人或单位负责人为同一人或者存在直接控股、管理关系的供应商。</w:t>
      </w:r>
    </w:p>
    <w:p>
      <w:pPr>
        <w:ind w:firstLine="480" w:firstLineChars="200"/>
        <w:rPr>
          <w:rFonts w:hint="default" w:ascii="宋体" w:hAnsi="宋体" w:eastAsia="宋体"/>
          <w:color w:val="auto"/>
          <w:highlight w:val="none"/>
          <w:lang w:val="en-US" w:eastAsia="zh-CN"/>
        </w:rPr>
      </w:pPr>
      <w:r>
        <w:rPr>
          <w:rFonts w:hint="default" w:ascii="宋体" w:hAnsi="宋体" w:eastAsia="宋体"/>
          <w:color w:val="auto"/>
          <w:highlight w:val="none"/>
          <w:lang w:val="en-US" w:eastAsia="zh-CN"/>
        </w:rPr>
        <w:t>3.2 为采购项目提供整体设计、规范编制或者项目管理、监理、检测等服务的供应商。</w:t>
      </w:r>
    </w:p>
    <w:p>
      <w:pPr>
        <w:ind w:firstLine="480" w:firstLineChars="200"/>
        <w:rPr>
          <w:rFonts w:hint="default" w:ascii="宋体" w:hAnsi="宋体" w:eastAsia="宋体"/>
          <w:color w:val="auto"/>
          <w:highlight w:val="none"/>
          <w:lang w:val="en-US" w:eastAsia="zh-CN"/>
        </w:rPr>
      </w:pPr>
      <w:r>
        <w:rPr>
          <w:rFonts w:hint="default" w:ascii="宋体" w:hAnsi="宋体" w:eastAsia="宋体"/>
          <w:color w:val="auto"/>
          <w:highlight w:val="none"/>
          <w:lang w:val="en-US" w:eastAsia="zh-CN"/>
        </w:rPr>
        <w:t>4. 供应商未被列入失信被执行人、重大税收违法失信主体、政府采购严重违法失信行为记录名单及其他不符合规定条件的供应商【以采购人提供在“信用中国”网站（www.creditchina.gov.cn）及中国政府采购网(www.ccgp.gov.cn)查询结果为准，注：若供应商为分支机构的，同时对该分支机构所属总公司（总所）进行信用记录查询，该分支机构所属总公司(总所）存在不良信用记录的，视同供应商存在不良信用记录。】</w:t>
      </w:r>
    </w:p>
    <w:p>
      <w:pPr>
        <w:ind w:firstLine="240" w:firstLineChars="100"/>
        <w:rPr>
          <w:rFonts w:ascii="宋体" w:hAnsi="宋体" w:eastAsia="宋体"/>
          <w:color w:val="auto"/>
          <w:highlight w:val="none"/>
        </w:rPr>
      </w:pPr>
      <w:r>
        <w:rPr>
          <w:rFonts w:hint="default" w:ascii="宋体" w:hAnsi="宋体" w:eastAsia="宋体" w:cs="Times New Roman"/>
          <w:b w:val="0"/>
          <w:bCs w:val="0"/>
          <w:i w:val="0"/>
          <w:iCs w:val="0"/>
          <w:caps w:val="0"/>
          <w:color w:val="auto"/>
          <w:spacing w:val="0"/>
          <w:sz w:val="24"/>
          <w:szCs w:val="24"/>
          <w:highlight w:val="none"/>
          <w:shd w:val="clear" w:fill="auto"/>
          <w:lang w:val="en-US" w:eastAsia="zh-CN"/>
        </w:rPr>
        <w:t>5.</w:t>
      </w:r>
      <w:r>
        <w:rPr>
          <w:rFonts w:hint="default" w:ascii="宋体" w:hAnsi="宋体" w:eastAsia="宋体" w:cs="Times New Roman"/>
          <w:b w:val="0"/>
          <w:bCs w:val="0"/>
          <w:i w:val="0"/>
          <w:iCs w:val="0"/>
          <w:caps w:val="0"/>
          <w:color w:val="auto"/>
          <w:spacing w:val="0"/>
          <w:sz w:val="24"/>
          <w:szCs w:val="24"/>
          <w:highlight w:val="none"/>
          <w:shd w:val="clear" w:fill="auto"/>
        </w:rPr>
        <w:t>本项目不接受联合体报价。</w:t>
      </w:r>
    </w:p>
    <w:p>
      <w:pPr>
        <w:spacing w:line="288" w:lineRule="auto"/>
        <w:ind w:firstLine="482"/>
        <w:rPr>
          <w:rFonts w:ascii="宋体" w:hAnsi="宋体" w:eastAsia="宋体"/>
          <w:b/>
          <w:color w:val="auto"/>
          <w:highlight w:val="none"/>
        </w:rPr>
      </w:pPr>
    </w:p>
    <w:p>
      <w:pPr>
        <w:spacing w:line="288" w:lineRule="auto"/>
        <w:ind w:firstLine="482"/>
        <w:rPr>
          <w:rFonts w:ascii="宋体" w:hAnsi="宋体" w:eastAsia="宋体"/>
          <w:color w:val="auto"/>
          <w:highlight w:val="none"/>
        </w:rPr>
      </w:pPr>
      <w:r>
        <w:rPr>
          <w:rFonts w:ascii="宋体" w:hAnsi="宋体" w:eastAsia="宋体"/>
          <w:b/>
          <w:color w:val="auto"/>
          <w:highlight w:val="none"/>
        </w:rPr>
        <w:t>三、维修保养的具体要求</w:t>
      </w:r>
    </w:p>
    <w:p>
      <w:pPr>
        <w:spacing w:line="288" w:lineRule="auto"/>
        <w:ind w:firstLine="480"/>
        <w:rPr>
          <w:rFonts w:ascii="宋体" w:hAnsi="宋体" w:eastAsia="宋体"/>
          <w:color w:val="auto"/>
          <w:highlight w:val="none"/>
        </w:rPr>
      </w:pPr>
      <w:r>
        <w:rPr>
          <w:rFonts w:ascii="宋体" w:hAnsi="宋体" w:eastAsia="宋体"/>
          <w:color w:val="auto"/>
          <w:sz w:val="21"/>
          <w:highlight w:val="none"/>
        </w:rPr>
        <w:t xml:space="preserve"> </w:t>
      </w:r>
      <w:r>
        <w:rPr>
          <w:rFonts w:ascii="宋体" w:hAnsi="宋体" w:eastAsia="宋体"/>
          <w:color w:val="auto"/>
          <w:highlight w:val="none"/>
        </w:rPr>
        <w:t>（一）驻院团队人员要求：</w:t>
      </w:r>
    </w:p>
    <w:p>
      <w:pPr>
        <w:spacing w:line="288" w:lineRule="auto"/>
        <w:ind w:firstLine="480"/>
        <w:rPr>
          <w:rFonts w:ascii="宋体" w:hAnsi="宋体" w:eastAsia="宋体"/>
          <w:color w:val="auto"/>
          <w:highlight w:val="none"/>
        </w:rPr>
      </w:pPr>
      <w:r>
        <w:rPr>
          <w:rFonts w:hint="eastAsia" w:ascii="宋体" w:hAnsi="宋体" w:eastAsia="宋体"/>
          <w:color w:val="auto"/>
          <w:highlight w:val="none"/>
        </w:rPr>
        <w:t>★</w:t>
      </w:r>
      <w:r>
        <w:rPr>
          <w:rFonts w:ascii="宋体" w:hAnsi="宋体" w:eastAsia="宋体"/>
          <w:color w:val="auto"/>
          <w:highlight w:val="none"/>
        </w:rPr>
        <w:t>1、服务期间：成交供应商为采购人提供</w:t>
      </w:r>
      <w:r>
        <w:rPr>
          <w:rFonts w:ascii="宋体" w:hAnsi="宋体" w:eastAsia="宋体"/>
          <w:color w:val="auto"/>
          <w:highlight w:val="none"/>
          <w:u w:val="single"/>
        </w:rPr>
        <w:t xml:space="preserve"> 1 </w:t>
      </w:r>
      <w:r>
        <w:rPr>
          <w:rFonts w:ascii="宋体" w:hAnsi="宋体" w:eastAsia="宋体"/>
          <w:color w:val="auto"/>
          <w:highlight w:val="none"/>
        </w:rPr>
        <w:t>名有丰富医疗设备维修经验的常驻工程师</w:t>
      </w:r>
      <w:r>
        <w:rPr>
          <w:rFonts w:hint="eastAsia" w:ascii="宋体" w:hAnsi="宋体" w:eastAsia="宋体"/>
          <w:color w:val="auto"/>
          <w:highlight w:val="none"/>
        </w:rPr>
        <w:t>，</w:t>
      </w:r>
      <w:r>
        <w:rPr>
          <w:rFonts w:hint="eastAsia" w:ascii="宋体" w:hAnsi="宋体" w:eastAsia="宋体"/>
          <w:color w:val="auto"/>
          <w:highlight w:val="none"/>
          <w:lang w:val="en-US" w:eastAsia="zh-CN"/>
        </w:rPr>
        <w:t>常驻工程师需有三年以上医疗设备维修工作经验（提供相关证明材料），</w:t>
      </w:r>
      <w:r>
        <w:rPr>
          <w:rFonts w:hint="eastAsia" w:ascii="宋体" w:hAnsi="宋体" w:eastAsia="宋体"/>
          <w:color w:val="auto"/>
          <w:highlight w:val="none"/>
        </w:rPr>
        <w:t>工作日（周一至周五）全天及周六上午驻点。法定节假日应急报修2小时</w:t>
      </w:r>
      <w:r>
        <w:rPr>
          <w:rFonts w:hint="eastAsia" w:ascii="宋体" w:hAnsi="宋体" w:eastAsia="宋体"/>
          <w:color w:val="auto"/>
          <w:highlight w:val="none"/>
          <w:lang w:val="en-US" w:eastAsia="zh-CN"/>
        </w:rPr>
        <w:t>内</w:t>
      </w:r>
      <w:r>
        <w:rPr>
          <w:rFonts w:hint="eastAsia" w:ascii="宋体" w:hAnsi="宋体" w:eastAsia="宋体"/>
          <w:color w:val="auto"/>
          <w:highlight w:val="none"/>
        </w:rPr>
        <w:t>到场，</w:t>
      </w:r>
      <w:r>
        <w:rPr>
          <w:rFonts w:ascii="宋体" w:hAnsi="宋体" w:eastAsia="宋体"/>
          <w:color w:val="auto"/>
          <w:highlight w:val="none"/>
        </w:rPr>
        <w:t>保证</w:t>
      </w:r>
      <w:r>
        <w:rPr>
          <w:rFonts w:hint="eastAsia" w:ascii="宋体" w:hAnsi="宋体" w:eastAsia="宋体"/>
          <w:color w:val="auto"/>
          <w:highlight w:val="none"/>
          <w:lang w:val="en-US" w:eastAsia="zh-CN"/>
        </w:rPr>
        <w:t>当</w:t>
      </w:r>
      <w:r>
        <w:rPr>
          <w:rFonts w:ascii="宋体" w:hAnsi="宋体" w:eastAsia="宋体"/>
          <w:color w:val="auto"/>
          <w:highlight w:val="none"/>
        </w:rPr>
        <w:t>设备出现</w:t>
      </w:r>
      <w:r>
        <w:rPr>
          <w:rFonts w:hint="eastAsia" w:ascii="宋体" w:hAnsi="宋体" w:eastAsia="宋体"/>
          <w:color w:val="auto"/>
          <w:highlight w:val="none"/>
          <w:lang w:val="en-US" w:eastAsia="zh-CN"/>
        </w:rPr>
        <w:t>应急</w:t>
      </w:r>
      <w:r>
        <w:rPr>
          <w:rFonts w:ascii="宋体" w:hAnsi="宋体" w:eastAsia="宋体"/>
          <w:color w:val="auto"/>
          <w:highlight w:val="none"/>
        </w:rPr>
        <w:t>故障时，</w:t>
      </w:r>
      <w:r>
        <w:rPr>
          <w:rFonts w:hint="eastAsia" w:ascii="宋体" w:hAnsi="宋体" w:eastAsia="宋体"/>
          <w:color w:val="auto"/>
          <w:highlight w:val="none"/>
        </w:rPr>
        <w:t>能</w:t>
      </w:r>
      <w:r>
        <w:rPr>
          <w:rFonts w:ascii="宋体" w:hAnsi="宋体" w:eastAsia="宋体"/>
          <w:color w:val="auto"/>
          <w:highlight w:val="none"/>
        </w:rPr>
        <w:t>及时处理</w:t>
      </w:r>
      <w:r>
        <w:rPr>
          <w:rFonts w:hint="eastAsia" w:ascii="宋体" w:hAnsi="宋体" w:eastAsia="宋体"/>
          <w:color w:val="auto"/>
          <w:highlight w:val="none"/>
        </w:rPr>
        <w:t>，解决问题</w:t>
      </w:r>
      <w:r>
        <w:rPr>
          <w:rFonts w:ascii="宋体" w:hAnsi="宋体" w:eastAsia="宋体"/>
          <w:color w:val="auto"/>
          <w:highlight w:val="none"/>
        </w:rPr>
        <w:t>。</w:t>
      </w:r>
    </w:p>
    <w:p>
      <w:pPr>
        <w:pStyle w:val="59"/>
        <w:spacing w:line="288" w:lineRule="auto"/>
        <w:ind w:firstLine="444" w:firstLineChars="185"/>
        <w:rPr>
          <w:rFonts w:ascii="宋体" w:hAnsi="宋体"/>
          <w:color w:val="auto"/>
          <w:spacing w:val="0"/>
          <w:szCs w:val="24"/>
          <w:highlight w:val="none"/>
          <w:u w:val="none"/>
        </w:rPr>
      </w:pPr>
      <w:r>
        <w:rPr>
          <w:rFonts w:hint="default" w:ascii="宋体" w:hAnsi="宋体"/>
          <w:b w:val="0"/>
          <w:color w:val="auto"/>
          <w:spacing w:val="0"/>
          <w:szCs w:val="24"/>
          <w:highlight w:val="none"/>
        </w:rPr>
        <w:t>▲</w:t>
      </w:r>
      <w:r>
        <w:rPr>
          <w:rFonts w:ascii="宋体" w:hAnsi="宋体"/>
          <w:bCs w:val="0"/>
          <w:color w:val="auto"/>
          <w:spacing w:val="0"/>
          <w:szCs w:val="24"/>
          <w:highlight w:val="none"/>
        </w:rPr>
        <w:t>2</w:t>
      </w:r>
      <w:r>
        <w:rPr>
          <w:rFonts w:hint="default" w:ascii="宋体" w:hAnsi="宋体"/>
          <w:bCs w:val="0"/>
          <w:color w:val="auto"/>
          <w:spacing w:val="0"/>
          <w:szCs w:val="24"/>
          <w:highlight w:val="none"/>
        </w:rPr>
        <w:t>、</w:t>
      </w:r>
      <w:r>
        <w:rPr>
          <w:rFonts w:ascii="宋体" w:hAnsi="宋体" w:eastAsia="宋体"/>
          <w:color w:val="auto"/>
          <w:highlight w:val="none"/>
        </w:rPr>
        <w:t>供应商</w:t>
      </w:r>
      <w:r>
        <w:rPr>
          <w:rFonts w:hint="default" w:ascii="宋体" w:hAnsi="宋体"/>
          <w:bCs w:val="0"/>
          <w:color w:val="auto"/>
          <w:spacing w:val="0"/>
          <w:szCs w:val="24"/>
          <w:highlight w:val="none"/>
        </w:rPr>
        <w:t>应设1名项目负责人，项目负责人具有本科（或以上）学历及人力资源和社会保障局（厅）评审通过医疗器械高级（或以上）工程师职称证书（注：</w:t>
      </w:r>
      <w:r>
        <w:rPr>
          <w:rFonts w:ascii="宋体" w:hAnsi="宋体" w:eastAsia="宋体"/>
          <w:color w:val="auto"/>
          <w:highlight w:val="none"/>
        </w:rPr>
        <w:t>供应商</w:t>
      </w:r>
      <w:r>
        <w:rPr>
          <w:rFonts w:hint="default" w:ascii="宋体" w:hAnsi="宋体"/>
          <w:bCs w:val="0"/>
          <w:color w:val="auto"/>
          <w:spacing w:val="0"/>
          <w:szCs w:val="24"/>
          <w:highlight w:val="none"/>
        </w:rPr>
        <w:t>需提供人员</w:t>
      </w:r>
      <w:r>
        <w:rPr>
          <w:rFonts w:hint="eastAsia" w:ascii="宋体" w:hAnsi="宋体"/>
          <w:bCs w:val="0"/>
          <w:color w:val="auto"/>
          <w:spacing w:val="0"/>
          <w:szCs w:val="24"/>
          <w:highlight w:val="none"/>
          <w:lang w:val="en-US" w:eastAsia="zh-CN"/>
        </w:rPr>
        <w:t>毕业证书、</w:t>
      </w:r>
      <w:r>
        <w:rPr>
          <w:rFonts w:hint="default" w:ascii="宋体" w:hAnsi="宋体"/>
          <w:bCs w:val="0"/>
          <w:color w:val="auto"/>
          <w:spacing w:val="0"/>
          <w:szCs w:val="24"/>
          <w:highlight w:val="none"/>
        </w:rPr>
        <w:t>有效的职称证书复印件及</w:t>
      </w:r>
      <w:r>
        <w:rPr>
          <w:rFonts w:ascii="宋体" w:hAnsi="宋体" w:eastAsia="宋体"/>
          <w:color w:val="auto"/>
          <w:highlight w:val="none"/>
        </w:rPr>
        <w:t>供应商</w:t>
      </w:r>
      <w:r>
        <w:rPr>
          <w:rFonts w:hint="default" w:ascii="宋体" w:hAnsi="宋体" w:cs="Times New Roman"/>
          <w:color w:val="auto"/>
          <w:spacing w:val="0"/>
          <w:szCs w:val="24"/>
          <w:highlight w:val="none"/>
        </w:rPr>
        <w:t>为其购买的</w:t>
      </w:r>
      <w:r>
        <w:rPr>
          <w:rFonts w:hint="default" w:ascii="宋体" w:hAnsi="宋体" w:cs="Times New Roman"/>
          <w:color w:val="auto"/>
          <w:spacing w:val="0"/>
          <w:sz w:val="24"/>
          <w:szCs w:val="24"/>
          <w:highlight w:val="none"/>
        </w:rPr>
        <w:t>202</w:t>
      </w:r>
      <w:r>
        <w:rPr>
          <w:rFonts w:ascii="宋体" w:hAnsi="宋体" w:cs="Times New Roman"/>
          <w:color w:val="auto"/>
          <w:spacing w:val="0"/>
          <w:sz w:val="24"/>
          <w:szCs w:val="24"/>
          <w:highlight w:val="none"/>
        </w:rPr>
        <w:t>5</w:t>
      </w:r>
      <w:r>
        <w:rPr>
          <w:rFonts w:hint="default" w:ascii="宋体" w:hAnsi="宋体" w:cs="Times New Roman"/>
          <w:color w:val="auto"/>
          <w:spacing w:val="0"/>
          <w:sz w:val="24"/>
          <w:szCs w:val="24"/>
          <w:highlight w:val="none"/>
        </w:rPr>
        <w:t>年</w:t>
      </w:r>
      <w:r>
        <w:rPr>
          <w:rFonts w:hint="default" w:ascii="宋体" w:hAnsi="宋体" w:cs="Times New Roman"/>
          <w:color w:val="auto"/>
          <w:spacing w:val="0"/>
          <w:sz w:val="24"/>
          <w:szCs w:val="24"/>
          <w:highlight w:val="none"/>
          <w:lang w:eastAsia="zh-CN"/>
        </w:rPr>
        <w:t>1</w:t>
      </w:r>
      <w:r>
        <w:rPr>
          <w:rFonts w:hint="default" w:ascii="宋体" w:hAnsi="宋体" w:cs="Times New Roman"/>
          <w:color w:val="auto"/>
          <w:spacing w:val="0"/>
          <w:sz w:val="24"/>
          <w:szCs w:val="24"/>
          <w:highlight w:val="none"/>
          <w:lang w:val="en-US" w:eastAsia="zh-CN"/>
        </w:rPr>
        <w:t>0</w:t>
      </w:r>
      <w:r>
        <w:rPr>
          <w:rFonts w:hint="default" w:ascii="宋体" w:hAnsi="宋体" w:cs="Times New Roman"/>
          <w:color w:val="auto"/>
          <w:spacing w:val="0"/>
          <w:sz w:val="24"/>
          <w:szCs w:val="24"/>
          <w:highlight w:val="none"/>
        </w:rPr>
        <w:t>月-</w:t>
      </w:r>
      <w:r>
        <w:rPr>
          <w:rFonts w:ascii="宋体" w:hAnsi="宋体" w:cs="Times New Roman"/>
          <w:color w:val="auto"/>
          <w:spacing w:val="0"/>
          <w:sz w:val="24"/>
          <w:szCs w:val="24"/>
          <w:highlight w:val="none"/>
        </w:rPr>
        <w:t>2026</w:t>
      </w:r>
      <w:r>
        <w:rPr>
          <w:rFonts w:hint="default" w:ascii="宋体" w:hAnsi="宋体" w:cs="Times New Roman"/>
          <w:color w:val="auto"/>
          <w:spacing w:val="0"/>
          <w:sz w:val="24"/>
          <w:szCs w:val="24"/>
          <w:highlight w:val="none"/>
        </w:rPr>
        <w:t>年</w:t>
      </w:r>
      <w:r>
        <w:rPr>
          <w:rFonts w:hint="default" w:ascii="宋体" w:hAnsi="宋体" w:cs="Times New Roman"/>
          <w:color w:val="auto"/>
          <w:spacing w:val="0"/>
          <w:sz w:val="24"/>
          <w:szCs w:val="24"/>
          <w:highlight w:val="none"/>
          <w:lang w:eastAsia="zh-CN"/>
        </w:rPr>
        <w:t>3</w:t>
      </w:r>
      <w:r>
        <w:rPr>
          <w:rFonts w:hint="default" w:ascii="宋体" w:hAnsi="宋体" w:cs="Times New Roman"/>
          <w:color w:val="auto"/>
          <w:spacing w:val="0"/>
          <w:sz w:val="24"/>
          <w:szCs w:val="24"/>
          <w:highlight w:val="none"/>
        </w:rPr>
        <w:t>月</w:t>
      </w:r>
      <w:r>
        <w:rPr>
          <w:rFonts w:hint="default" w:ascii="宋体" w:hAnsi="宋体" w:cs="Times New Roman"/>
          <w:color w:val="auto"/>
          <w:spacing w:val="0"/>
          <w:szCs w:val="24"/>
          <w:highlight w:val="none"/>
        </w:rPr>
        <w:t>期间任意</w:t>
      </w:r>
      <w:r>
        <w:rPr>
          <w:rFonts w:hint="eastAsia" w:ascii="宋体" w:hAnsi="宋体" w:cs="Times New Roman"/>
          <w:color w:val="auto"/>
          <w:spacing w:val="0"/>
          <w:szCs w:val="24"/>
          <w:highlight w:val="none"/>
          <w:lang w:val="en-US" w:eastAsia="zh-CN"/>
        </w:rPr>
        <w:t>一</w:t>
      </w:r>
      <w:r>
        <w:rPr>
          <w:rFonts w:hint="default" w:ascii="宋体" w:hAnsi="宋体" w:cs="Times New Roman"/>
          <w:color w:val="auto"/>
          <w:spacing w:val="0"/>
          <w:szCs w:val="24"/>
          <w:highlight w:val="none"/>
        </w:rPr>
        <w:t>个月的社保证明复印件）</w:t>
      </w:r>
      <w:r>
        <w:rPr>
          <w:rFonts w:hint="default" w:ascii="宋体" w:hAnsi="宋体"/>
          <w:color w:val="auto"/>
          <w:spacing w:val="0"/>
          <w:szCs w:val="24"/>
          <w:highlight w:val="none"/>
        </w:rPr>
        <w:t>。</w:t>
      </w:r>
    </w:p>
    <w:p>
      <w:pPr>
        <w:spacing w:line="288" w:lineRule="auto"/>
        <w:ind w:firstLine="480"/>
        <w:rPr>
          <w:rFonts w:ascii="宋体" w:hAnsi="宋体" w:eastAsia="宋体"/>
          <w:color w:val="auto"/>
          <w:highlight w:val="none"/>
        </w:rPr>
      </w:pPr>
      <w:r>
        <w:rPr>
          <w:rFonts w:hint="eastAsia" w:ascii="宋体" w:hAnsi="宋体" w:eastAsia="宋体"/>
          <w:color w:val="auto"/>
          <w:highlight w:val="none"/>
          <w:lang w:val="en-US" w:eastAsia="zh-CN"/>
        </w:rPr>
        <w:t>3</w:t>
      </w:r>
      <w:r>
        <w:rPr>
          <w:rFonts w:ascii="宋体" w:hAnsi="宋体" w:eastAsia="宋体"/>
          <w:color w:val="auto"/>
          <w:highlight w:val="none"/>
        </w:rPr>
        <w:t>、服务期间，成交供应商应当给驻场工程师购买社会保险，做好驻场工程师的安全教育，让工程师在工作期间有人身安全保证。</w:t>
      </w:r>
    </w:p>
    <w:p>
      <w:pPr>
        <w:spacing w:line="288" w:lineRule="auto"/>
        <w:ind w:firstLine="480"/>
        <w:rPr>
          <w:rFonts w:ascii="宋体" w:hAnsi="宋体" w:eastAsia="宋体"/>
          <w:color w:val="auto"/>
          <w:highlight w:val="none"/>
        </w:rPr>
      </w:pPr>
      <w:r>
        <w:rPr>
          <w:rFonts w:ascii="宋体" w:hAnsi="宋体" w:eastAsia="宋体"/>
          <w:color w:val="auto"/>
          <w:highlight w:val="none"/>
        </w:rPr>
        <w:t>4、服务期间，成交供应商的工作人员在采购人处必须严格遵守采购人的规章制度,做到文明施工，确保安全、保质、快捷可靠，并保持通讯畅通。</w:t>
      </w:r>
    </w:p>
    <w:p>
      <w:pPr>
        <w:spacing w:line="288" w:lineRule="auto"/>
        <w:ind w:firstLine="480"/>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5、服务期内人员更换需提前一个月通知采购人并获得同意，确保服务连续性。</w:t>
      </w:r>
    </w:p>
    <w:p>
      <w:pPr>
        <w:spacing w:line="288" w:lineRule="auto"/>
        <w:ind w:firstLine="480"/>
        <w:rPr>
          <w:rFonts w:hint="default" w:ascii="宋体" w:hAnsi="宋体" w:eastAsia="宋体"/>
          <w:color w:val="auto"/>
          <w:highlight w:val="none"/>
          <w:lang w:val="en-US" w:eastAsia="zh-CN"/>
        </w:rPr>
      </w:pPr>
      <w:r>
        <w:rPr>
          <w:rFonts w:hint="eastAsia" w:ascii="宋体" w:hAnsi="宋体" w:eastAsia="宋体"/>
          <w:color w:val="auto"/>
          <w:highlight w:val="none"/>
          <w:lang w:val="en-US" w:eastAsia="zh-CN"/>
        </w:rPr>
        <w:t>6、成交</w:t>
      </w:r>
      <w:r>
        <w:rPr>
          <w:rFonts w:ascii="宋体" w:hAnsi="宋体" w:eastAsia="宋体"/>
          <w:color w:val="auto"/>
          <w:highlight w:val="none"/>
        </w:rPr>
        <w:t>供应商</w:t>
      </w:r>
      <w:r>
        <w:rPr>
          <w:rFonts w:hint="eastAsia" w:ascii="宋体" w:hAnsi="宋体" w:eastAsia="宋体"/>
          <w:color w:val="auto"/>
          <w:highlight w:val="none"/>
          <w:lang w:val="en-US" w:eastAsia="zh-CN"/>
        </w:rPr>
        <w:t>定期对驻场工程师进行专业技能培训和考核，确保技术能力持续提升。</w:t>
      </w:r>
    </w:p>
    <w:p>
      <w:pPr>
        <w:spacing w:line="288" w:lineRule="auto"/>
        <w:ind w:firstLine="480"/>
        <w:rPr>
          <w:rFonts w:ascii="宋体" w:hAnsi="宋体" w:eastAsia="宋体"/>
          <w:color w:val="auto"/>
          <w:highlight w:val="none"/>
        </w:rPr>
      </w:pPr>
    </w:p>
    <w:p>
      <w:pPr>
        <w:spacing w:line="288" w:lineRule="auto"/>
        <w:ind w:firstLine="480"/>
        <w:rPr>
          <w:rFonts w:ascii="宋体" w:hAnsi="宋体" w:eastAsia="宋体"/>
          <w:color w:val="auto"/>
          <w:highlight w:val="none"/>
        </w:rPr>
      </w:pPr>
      <w:r>
        <w:rPr>
          <w:rFonts w:ascii="宋体" w:hAnsi="宋体" w:eastAsia="宋体"/>
          <w:color w:val="auto"/>
          <w:highlight w:val="none"/>
        </w:rPr>
        <w:t>（二）日常维修工作要求：</w:t>
      </w:r>
    </w:p>
    <w:p>
      <w:pPr>
        <w:spacing w:line="288" w:lineRule="auto"/>
        <w:ind w:firstLine="480"/>
        <w:rPr>
          <w:rFonts w:ascii="宋体" w:hAnsi="宋体" w:eastAsia="宋体"/>
          <w:color w:val="auto"/>
          <w:highlight w:val="none"/>
        </w:rPr>
      </w:pPr>
      <w:r>
        <w:rPr>
          <w:rFonts w:ascii="宋体" w:hAnsi="宋体" w:eastAsia="宋体"/>
          <w:color w:val="auto"/>
          <w:highlight w:val="none"/>
        </w:rPr>
        <w:t>1、设立报修电话（包含但不限于派驻人员联系电话、成交供应商公司24小时服务电话）：保证24小时有人接听。</w:t>
      </w:r>
    </w:p>
    <w:p>
      <w:pPr>
        <w:spacing w:line="288" w:lineRule="auto"/>
        <w:ind w:firstLine="480"/>
        <w:rPr>
          <w:rFonts w:ascii="宋体" w:hAnsi="宋体" w:eastAsia="宋体"/>
          <w:color w:val="auto"/>
          <w:highlight w:val="none"/>
        </w:rPr>
      </w:pPr>
      <w:r>
        <w:rPr>
          <w:rFonts w:ascii="宋体" w:hAnsi="宋体" w:eastAsia="宋体"/>
          <w:color w:val="auto"/>
          <w:highlight w:val="none"/>
        </w:rPr>
        <w:t>2、</w:t>
      </w:r>
      <w:r>
        <w:rPr>
          <w:rFonts w:hint="eastAsia" w:ascii="宋体" w:hAnsi="宋体" w:eastAsia="宋体"/>
          <w:color w:val="auto"/>
          <w:highlight w:val="none"/>
          <w:lang w:val="en-US" w:eastAsia="zh-CN"/>
        </w:rPr>
        <w:t>响应时间</w:t>
      </w:r>
      <w:r>
        <w:rPr>
          <w:rFonts w:ascii="宋体" w:hAnsi="宋体" w:eastAsia="宋体"/>
          <w:color w:val="auto"/>
          <w:highlight w:val="none"/>
        </w:rPr>
        <w:t>：接到采购人设备故障通知，技术人员先做出电话响应，</w:t>
      </w:r>
      <w:r>
        <w:rPr>
          <w:rFonts w:hint="eastAsia" w:ascii="宋体" w:hAnsi="宋体" w:eastAsia="宋体"/>
          <w:color w:val="auto"/>
          <w:highlight w:val="none"/>
        </w:rPr>
        <w:t>工作日上班时间</w:t>
      </w:r>
      <w:r>
        <w:rPr>
          <w:rFonts w:ascii="宋体" w:hAnsi="宋体" w:eastAsia="宋体"/>
          <w:color w:val="auto"/>
          <w:highlight w:val="none"/>
        </w:rPr>
        <w:t>如没有对重要或紧急设备进行保养维修，技术人员需在20分钟内到达现场</w:t>
      </w:r>
      <w:r>
        <w:rPr>
          <w:rFonts w:hint="eastAsia" w:ascii="宋体" w:hAnsi="宋体" w:eastAsia="宋体"/>
          <w:color w:val="auto"/>
          <w:highlight w:val="none"/>
          <w:lang w:eastAsia="zh-CN"/>
        </w:rPr>
        <w:t>；</w:t>
      </w:r>
      <w:r>
        <w:rPr>
          <w:rFonts w:hint="eastAsia" w:ascii="宋体" w:hAnsi="宋体" w:eastAsia="宋体"/>
          <w:color w:val="auto"/>
          <w:highlight w:val="none"/>
          <w:lang w:val="en-US" w:eastAsia="zh-CN"/>
        </w:rPr>
        <w:t>周末、</w:t>
      </w:r>
      <w:r>
        <w:rPr>
          <w:rFonts w:hint="eastAsia" w:ascii="宋体" w:hAnsi="宋体" w:eastAsia="宋体"/>
          <w:color w:val="auto"/>
          <w:highlight w:val="none"/>
        </w:rPr>
        <w:t>法定节假日应急报修</w:t>
      </w:r>
      <w:r>
        <w:rPr>
          <w:rFonts w:hint="eastAsia" w:ascii="宋体" w:hAnsi="宋体" w:eastAsia="宋体"/>
          <w:color w:val="auto"/>
          <w:highlight w:val="none"/>
          <w:lang w:eastAsia="zh-CN"/>
        </w:rPr>
        <w:t>，</w:t>
      </w:r>
      <w:r>
        <w:rPr>
          <w:rFonts w:hint="eastAsia" w:ascii="宋体" w:hAnsi="宋体" w:eastAsia="宋体"/>
          <w:color w:val="auto"/>
          <w:highlight w:val="none"/>
          <w:lang w:val="en-US" w:eastAsia="zh-CN"/>
        </w:rPr>
        <w:t>技术人员</w:t>
      </w:r>
      <w:r>
        <w:rPr>
          <w:rFonts w:hint="eastAsia" w:ascii="宋体" w:hAnsi="宋体" w:eastAsia="宋体"/>
          <w:color w:val="auto"/>
          <w:highlight w:val="none"/>
        </w:rPr>
        <w:t>2小时到场</w:t>
      </w:r>
      <w:r>
        <w:rPr>
          <w:rFonts w:ascii="宋体" w:hAnsi="宋体" w:eastAsia="宋体"/>
          <w:color w:val="auto"/>
          <w:highlight w:val="none"/>
        </w:rPr>
        <w:t>。</w:t>
      </w:r>
    </w:p>
    <w:p>
      <w:pPr>
        <w:spacing w:line="288" w:lineRule="auto"/>
        <w:ind w:firstLine="480"/>
        <w:rPr>
          <w:rFonts w:hint="eastAsia" w:ascii="宋体" w:hAnsi="宋体" w:eastAsia="宋体"/>
          <w:color w:val="auto"/>
          <w:highlight w:val="none"/>
          <w:lang w:eastAsia="zh-CN"/>
        </w:rPr>
      </w:pPr>
      <w:r>
        <w:rPr>
          <w:rFonts w:ascii="宋体" w:hAnsi="宋体" w:eastAsia="宋体"/>
          <w:color w:val="auto"/>
          <w:highlight w:val="none"/>
        </w:rPr>
        <w:t>3、供应商应设有备件库</w:t>
      </w:r>
      <w:r>
        <w:rPr>
          <w:rFonts w:hint="eastAsia" w:ascii="宋体" w:hAnsi="宋体" w:eastAsia="宋体"/>
          <w:color w:val="auto"/>
          <w:highlight w:val="none"/>
          <w:lang w:eastAsia="zh-CN"/>
        </w:rPr>
        <w:t>，</w:t>
      </w:r>
      <w:r>
        <w:rPr>
          <w:rFonts w:ascii="宋体" w:hAnsi="宋体" w:eastAsia="宋体"/>
          <w:color w:val="auto"/>
          <w:highlight w:val="none"/>
        </w:rPr>
        <w:t>可</w:t>
      </w:r>
      <w:r>
        <w:rPr>
          <w:rFonts w:hint="eastAsia" w:ascii="宋体" w:hAnsi="宋体" w:eastAsia="宋体"/>
          <w:color w:val="auto"/>
          <w:highlight w:val="none"/>
          <w:lang w:val="en-US" w:eastAsia="zh-CN"/>
        </w:rPr>
        <w:t>及时</w:t>
      </w:r>
      <w:r>
        <w:rPr>
          <w:rFonts w:ascii="宋体" w:hAnsi="宋体" w:eastAsia="宋体"/>
          <w:color w:val="auto"/>
          <w:highlight w:val="none"/>
        </w:rPr>
        <w:t>为维修提供零配件</w:t>
      </w:r>
      <w:r>
        <w:rPr>
          <w:rFonts w:hint="eastAsia" w:ascii="宋体" w:hAnsi="宋体" w:eastAsia="宋体"/>
          <w:color w:val="auto"/>
          <w:highlight w:val="none"/>
          <w:lang w:eastAsia="zh-CN"/>
        </w:rPr>
        <w:t>，所有备件必须符合原厂质量标准，</w:t>
      </w:r>
      <w:r>
        <w:rPr>
          <w:rFonts w:ascii="宋体" w:hAnsi="宋体" w:eastAsia="宋体"/>
          <w:color w:val="auto"/>
          <w:highlight w:val="none"/>
        </w:rPr>
        <w:t>供应商</w:t>
      </w:r>
      <w:r>
        <w:rPr>
          <w:rFonts w:hint="eastAsia" w:ascii="宋体" w:hAnsi="宋体" w:eastAsia="宋体"/>
          <w:color w:val="auto"/>
          <w:highlight w:val="none"/>
          <w:lang w:eastAsia="zh-CN"/>
        </w:rPr>
        <w:t>需提供备件的原厂证明或质量合格证书，禁止使用非原厂或质量不合格的备件，以确保医疗设备的正常运行和患者安全。</w:t>
      </w:r>
    </w:p>
    <w:p>
      <w:pPr>
        <w:spacing w:line="288" w:lineRule="auto"/>
        <w:ind w:firstLine="480"/>
        <w:rPr>
          <w:rFonts w:hint="eastAsia" w:ascii="宋体" w:hAnsi="宋体" w:eastAsia="宋体"/>
          <w:color w:val="auto"/>
          <w:highlight w:val="none"/>
        </w:rPr>
      </w:pPr>
      <w:r>
        <w:rPr>
          <w:rFonts w:ascii="宋体" w:hAnsi="宋体" w:eastAsia="宋体"/>
          <w:color w:val="auto"/>
          <w:highlight w:val="none"/>
        </w:rPr>
        <w:t>4、医疗设备应能修即修，确需更换配件的</w:t>
      </w:r>
      <w:r>
        <w:rPr>
          <w:rFonts w:hint="eastAsia" w:ascii="宋体" w:hAnsi="宋体" w:eastAsia="宋体"/>
          <w:color w:val="auto"/>
          <w:highlight w:val="none"/>
          <w:lang w:eastAsia="zh-CN"/>
        </w:rPr>
        <w:t>，</w:t>
      </w:r>
      <w:r>
        <w:rPr>
          <w:rFonts w:hint="eastAsia" w:ascii="宋体" w:hAnsi="宋体" w:eastAsia="宋体"/>
          <w:color w:val="auto"/>
          <w:highlight w:val="none"/>
          <w:lang w:val="en-US" w:eastAsia="zh-CN"/>
        </w:rPr>
        <w:t>应提前</w:t>
      </w:r>
      <w:r>
        <w:rPr>
          <w:rFonts w:ascii="宋体" w:hAnsi="宋体" w:eastAsia="宋体"/>
          <w:color w:val="auto"/>
          <w:highlight w:val="none"/>
        </w:rPr>
        <w:t>知会</w:t>
      </w:r>
      <w:r>
        <w:rPr>
          <w:rFonts w:hint="eastAsia" w:ascii="宋体" w:hAnsi="宋体" w:eastAsia="宋体"/>
          <w:color w:val="auto"/>
          <w:highlight w:val="none"/>
          <w:lang w:val="en-US" w:eastAsia="zh-CN"/>
        </w:rPr>
        <w:t>医疗</w:t>
      </w:r>
      <w:r>
        <w:rPr>
          <w:rFonts w:ascii="宋体" w:hAnsi="宋体" w:eastAsia="宋体"/>
          <w:color w:val="auto"/>
          <w:highlight w:val="none"/>
        </w:rPr>
        <w:t>设备科，</w:t>
      </w:r>
      <w:r>
        <w:rPr>
          <w:rFonts w:hint="eastAsia" w:ascii="宋体" w:hAnsi="宋体" w:eastAsia="宋体"/>
          <w:color w:val="auto"/>
          <w:highlight w:val="none"/>
        </w:rPr>
        <w:t>或为采购人提供合理有效的配件采购渠道</w:t>
      </w:r>
      <w:r>
        <w:rPr>
          <w:rFonts w:ascii="宋体" w:hAnsi="宋体" w:eastAsia="宋体"/>
          <w:color w:val="auto"/>
          <w:highlight w:val="none"/>
        </w:rPr>
        <w:t>，提供配件的相关信息经采购人同意后，由采购人购买或由成交</w:t>
      </w:r>
      <w:r>
        <w:rPr>
          <w:rFonts w:hint="eastAsia" w:ascii="宋体" w:hAnsi="宋体" w:eastAsia="宋体"/>
          <w:color w:val="auto"/>
          <w:highlight w:val="none"/>
        </w:rPr>
        <w:t>供应商代购，成交供应商所购配件必须符合国家有关质量标准要求。</w:t>
      </w:r>
    </w:p>
    <w:p>
      <w:pPr>
        <w:spacing w:line="288" w:lineRule="auto"/>
        <w:ind w:firstLine="480"/>
        <w:rPr>
          <w:rFonts w:hint="eastAsia" w:ascii="宋体" w:hAnsi="宋体" w:eastAsia="宋体"/>
          <w:color w:val="auto"/>
          <w:highlight w:val="none"/>
        </w:rPr>
      </w:pPr>
      <w:r>
        <w:rPr>
          <w:rFonts w:hint="eastAsia" w:ascii="宋体" w:hAnsi="宋体" w:eastAsia="宋体"/>
          <w:color w:val="auto"/>
          <w:highlight w:val="none"/>
        </w:rPr>
        <w:t>▲</w:t>
      </w:r>
      <w:r>
        <w:rPr>
          <w:rFonts w:hint="eastAsia" w:ascii="宋体" w:hAnsi="宋体" w:eastAsia="宋体" w:cs="Times New Roman"/>
          <w:color w:val="auto"/>
          <w:kern w:val="0"/>
          <w:sz w:val="24"/>
          <w:szCs w:val="24"/>
          <w:highlight w:val="none"/>
          <w:lang w:val="en-US" w:eastAsia="zh-CN" w:bidi="ar"/>
        </w:rPr>
        <w:t>5、</w:t>
      </w:r>
      <w:r>
        <w:rPr>
          <w:rFonts w:hint="eastAsia" w:ascii="宋体" w:hAnsi="宋体" w:eastAsia="宋体"/>
          <w:color w:val="auto"/>
          <w:highlight w:val="none"/>
        </w:rPr>
        <w:t>供应商</w:t>
      </w:r>
      <w:r>
        <w:rPr>
          <w:rFonts w:hint="eastAsia" w:ascii="宋体" w:hAnsi="宋体" w:eastAsia="宋体" w:cs="Times New Roman"/>
          <w:color w:val="auto"/>
          <w:kern w:val="0"/>
          <w:sz w:val="24"/>
          <w:szCs w:val="24"/>
          <w:highlight w:val="none"/>
          <w:lang w:val="en-US" w:eastAsia="zh-CN" w:bidi="ar"/>
        </w:rPr>
        <w:t>须具备中华人民共和国生态环境主管部门颁发的《辐射安全许可证》，并在有效期内。提供《辐射安全许可证》及发证机关官网查询截图（体现有效期及状态正常）。</w:t>
      </w:r>
    </w:p>
    <w:p>
      <w:pPr>
        <w:spacing w:line="288" w:lineRule="auto"/>
        <w:ind w:firstLine="444" w:firstLineChars="185"/>
        <w:rPr>
          <w:rFonts w:hint="eastAsia" w:ascii="宋体" w:hAnsi="宋体" w:eastAsia="宋体"/>
          <w:bCs w:val="0"/>
          <w:color w:val="auto"/>
          <w:highlight w:val="none"/>
        </w:rPr>
      </w:pPr>
      <w:r>
        <w:rPr>
          <w:rFonts w:hint="eastAsia" w:ascii="宋体" w:hAnsi="宋体" w:eastAsia="宋体"/>
          <w:color w:val="auto"/>
          <w:highlight w:val="none"/>
        </w:rPr>
        <w:t>▲</w:t>
      </w:r>
      <w:r>
        <w:rPr>
          <w:rFonts w:hint="eastAsia" w:ascii="宋体" w:hAnsi="宋体" w:eastAsia="宋体"/>
          <w:color w:val="auto"/>
          <w:highlight w:val="none"/>
          <w:lang w:val="en-US" w:eastAsia="zh-CN"/>
        </w:rPr>
        <w:t>6、</w:t>
      </w:r>
      <w:r>
        <w:rPr>
          <w:rFonts w:hint="eastAsia" w:ascii="宋体" w:hAnsi="宋体" w:eastAsia="宋体"/>
          <w:color w:val="auto"/>
          <w:highlight w:val="none"/>
        </w:rPr>
        <w:t>供应商</w:t>
      </w:r>
      <w:r>
        <w:rPr>
          <w:rFonts w:hint="eastAsia" w:ascii="宋体" w:hAnsi="宋体" w:eastAsia="宋体"/>
          <w:bCs w:val="0"/>
          <w:color w:val="auto"/>
          <w:highlight w:val="none"/>
        </w:rPr>
        <w:t>具有有效的《中国设备维修安装企业能力等级证书》，证书类别等级范围包含医疗器械：A类（放射类）I级；B类（超声类）I级；C类（检验类）I级；D类（医用电子类）I级；E类（消毒灭菌类）I级。</w:t>
      </w:r>
    </w:p>
    <w:p>
      <w:pPr>
        <w:spacing w:line="288" w:lineRule="auto"/>
        <w:ind w:firstLine="444" w:firstLineChars="185"/>
        <w:rPr>
          <w:rFonts w:hint="default" w:ascii="宋体" w:hAnsi="宋体" w:eastAsia="宋体"/>
          <w:color w:val="auto"/>
          <w:highlight w:val="none"/>
        </w:rPr>
      </w:pPr>
      <w:r>
        <w:rPr>
          <w:rFonts w:hint="eastAsia"/>
          <w:bCs/>
          <w:color w:val="auto"/>
          <w:highlight w:val="none"/>
          <w:lang w:val="en-US" w:eastAsia="zh-CN"/>
        </w:rPr>
        <w:t>7</w:t>
      </w:r>
      <w:r>
        <w:rPr>
          <w:rFonts w:hint="default" w:ascii="宋体" w:hAnsi="宋体" w:eastAsia="宋体"/>
          <w:color w:val="auto"/>
          <w:highlight w:val="none"/>
        </w:rPr>
        <w:t>.开机率保证：保证设备全年正常开机率 95%以上。急救类、生命支持类设备保证 100%的完好率</w:t>
      </w:r>
      <w:r>
        <w:rPr>
          <w:rFonts w:hint="eastAsia" w:ascii="宋体" w:hAnsi="宋体" w:eastAsia="宋体"/>
          <w:color w:val="auto"/>
          <w:highlight w:val="none"/>
          <w:lang w:eastAsia="zh-CN"/>
        </w:rPr>
        <w:t>（</w:t>
      </w:r>
      <w:r>
        <w:rPr>
          <w:rFonts w:hint="eastAsia" w:ascii="宋体" w:hAnsi="宋体" w:eastAsia="宋体"/>
          <w:color w:val="auto"/>
          <w:highlight w:val="none"/>
          <w:lang w:val="en-US" w:eastAsia="zh-CN"/>
        </w:rPr>
        <w:t>报废设备、维修中设备除外</w:t>
      </w:r>
      <w:r>
        <w:rPr>
          <w:rFonts w:hint="eastAsia" w:ascii="宋体" w:hAnsi="宋体" w:eastAsia="宋体"/>
          <w:color w:val="auto"/>
          <w:highlight w:val="none"/>
          <w:lang w:eastAsia="zh-CN"/>
        </w:rPr>
        <w:t>）</w:t>
      </w:r>
      <w:r>
        <w:rPr>
          <w:rFonts w:hint="default" w:ascii="宋体" w:hAnsi="宋体" w:eastAsia="宋体"/>
          <w:color w:val="auto"/>
          <w:highlight w:val="none"/>
        </w:rPr>
        <w:t>。保证急救类生命支持类设备（除颤仪、监护仪、呼吸机、心电图机等）良好的工作状态，始终处于待命状态。</w:t>
      </w:r>
    </w:p>
    <w:p>
      <w:pPr>
        <w:spacing w:line="288" w:lineRule="auto"/>
        <w:ind w:firstLine="444" w:firstLineChars="185"/>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8、每次维修后需提供维修记录，包括故障现象、维修过程、配件更换情况等。</w:t>
      </w:r>
    </w:p>
    <w:p>
      <w:pPr>
        <w:spacing w:line="288" w:lineRule="auto"/>
        <w:ind w:firstLine="444" w:firstLineChars="185"/>
        <w:rPr>
          <w:rFonts w:hint="default" w:ascii="宋体" w:hAnsi="宋体" w:eastAsia="宋体"/>
          <w:color w:val="auto"/>
          <w:highlight w:val="none"/>
          <w:lang w:val="en-US" w:eastAsia="zh-CN"/>
        </w:rPr>
      </w:pPr>
      <w:r>
        <w:rPr>
          <w:rFonts w:hint="eastAsia" w:ascii="宋体" w:hAnsi="宋体" w:eastAsia="宋体"/>
          <w:color w:val="auto"/>
          <w:highlight w:val="none"/>
          <w:lang w:val="en-US" w:eastAsia="zh-CN"/>
        </w:rPr>
        <w:t>9、提供应急方案，要求：</w:t>
      </w:r>
      <w:r>
        <w:rPr>
          <w:rFonts w:hint="eastAsia" w:ascii="宋体" w:hAnsi="宋体" w:eastAsia="宋体"/>
          <w:color w:val="auto"/>
          <w:highlight w:val="none"/>
        </w:rPr>
        <w:t>供应商</w:t>
      </w:r>
      <w:r>
        <w:rPr>
          <w:rFonts w:hint="eastAsia" w:ascii="宋体" w:hAnsi="宋体" w:eastAsia="宋体"/>
          <w:color w:val="auto"/>
          <w:highlight w:val="none"/>
          <w:lang w:val="en-US" w:eastAsia="zh-CN"/>
        </w:rPr>
        <w:t>需制定详尽的医疗设备应急维修方案，涵盖突发故障、自然灾害、公共卫生事件等紧急情况下的应对措施与流程。方案应包括但不限于应急团队的快速响应机制、备用设备的调配与使用、紧急配件的采购与储备、与医院及相关部门的沟通协调机制等，确保在紧急情况下能够迅速恢复医疗设备的正常运行，保障临床工作的连续性和患者的安全。同时，服务商需配合采购人参加应急演练，提升应急处理能力和效率，并接受采购人的监督与评估。</w:t>
      </w:r>
    </w:p>
    <w:p>
      <w:pPr>
        <w:spacing w:line="288" w:lineRule="auto"/>
        <w:ind w:firstLine="480"/>
        <w:rPr>
          <w:rFonts w:ascii="宋体" w:hAnsi="宋体" w:eastAsia="宋体"/>
          <w:color w:val="auto"/>
          <w:highlight w:val="none"/>
        </w:rPr>
      </w:pPr>
    </w:p>
    <w:p>
      <w:pPr>
        <w:spacing w:line="288" w:lineRule="auto"/>
        <w:ind w:firstLine="480"/>
        <w:rPr>
          <w:rFonts w:ascii="宋体" w:hAnsi="宋体" w:eastAsia="宋体"/>
          <w:color w:val="auto"/>
          <w:highlight w:val="none"/>
        </w:rPr>
      </w:pPr>
      <w:r>
        <w:rPr>
          <w:rFonts w:ascii="宋体" w:hAnsi="宋体" w:eastAsia="宋体"/>
          <w:color w:val="auto"/>
          <w:highlight w:val="none"/>
        </w:rPr>
        <w:t>（三）日常巡查计划及执行</w:t>
      </w:r>
    </w:p>
    <w:p>
      <w:pPr>
        <w:spacing w:line="288" w:lineRule="auto"/>
        <w:ind w:firstLine="480"/>
        <w:rPr>
          <w:rFonts w:ascii="宋体" w:hAnsi="宋体" w:eastAsia="宋体"/>
          <w:color w:val="auto"/>
          <w:highlight w:val="none"/>
        </w:rPr>
      </w:pPr>
      <w:r>
        <w:rPr>
          <w:rFonts w:hint="eastAsia" w:ascii="宋体" w:hAnsi="宋体" w:eastAsia="宋体"/>
          <w:color w:val="auto"/>
          <w:highlight w:val="none"/>
        </w:rPr>
        <w:t>1、巡查制度：对生命支持类设备及万元以上的设备定期巡查（每月一次），包括但不限于设备外观、运行状态、安全性能、环境适应性等方面的检查</w:t>
      </w:r>
      <w:r>
        <w:rPr>
          <w:rFonts w:hint="eastAsia" w:ascii="宋体" w:hAnsi="宋体" w:eastAsia="宋体"/>
          <w:color w:val="auto"/>
          <w:highlight w:val="none"/>
          <w:lang w:eastAsia="zh-CN"/>
        </w:rPr>
        <w:t>，要求对巡查中发现的问题进行跟踪管理，确保问题得到及时解决并形成</w:t>
      </w:r>
      <w:r>
        <w:rPr>
          <w:rFonts w:hint="eastAsia" w:ascii="宋体" w:hAnsi="宋体" w:eastAsia="宋体"/>
          <w:color w:val="auto"/>
          <w:highlight w:val="none"/>
          <w:lang w:val="en-US" w:eastAsia="zh-CN"/>
        </w:rPr>
        <w:t>闭环</w:t>
      </w:r>
      <w:r>
        <w:rPr>
          <w:rFonts w:hint="eastAsia" w:ascii="宋体" w:hAnsi="宋体" w:eastAsia="宋体"/>
          <w:color w:val="auto"/>
          <w:highlight w:val="none"/>
          <w:lang w:eastAsia="zh-CN"/>
        </w:rPr>
        <w:t>，</w:t>
      </w:r>
      <w:r>
        <w:rPr>
          <w:rFonts w:hint="eastAsia" w:ascii="宋体" w:hAnsi="宋体" w:eastAsia="宋体"/>
          <w:color w:val="auto"/>
          <w:highlight w:val="none"/>
        </w:rPr>
        <w:t>保证设备在优良的环境和正常的状态下正常运作。</w:t>
      </w:r>
    </w:p>
    <w:p>
      <w:pPr>
        <w:spacing w:line="288" w:lineRule="auto"/>
        <w:ind w:firstLine="480"/>
        <w:rPr>
          <w:rFonts w:ascii="宋体" w:hAnsi="宋体" w:eastAsia="宋体"/>
          <w:color w:val="auto"/>
          <w:highlight w:val="none"/>
        </w:rPr>
      </w:pPr>
      <w:r>
        <w:rPr>
          <w:rFonts w:ascii="宋体" w:hAnsi="宋体" w:eastAsia="宋体"/>
          <w:color w:val="auto"/>
          <w:highlight w:val="none"/>
        </w:rPr>
        <w:t>2、成交供应商应制订各科室医疗设备巡查计划，经采购人设备主管部门审核后，按计划对采购人的医疗设备进行巡查。</w:t>
      </w:r>
    </w:p>
    <w:p>
      <w:pPr>
        <w:spacing w:line="288" w:lineRule="auto"/>
        <w:ind w:firstLine="480"/>
        <w:rPr>
          <w:rFonts w:ascii="宋体" w:hAnsi="宋体" w:eastAsia="宋体"/>
          <w:color w:val="auto"/>
          <w:highlight w:val="none"/>
        </w:rPr>
      </w:pPr>
      <w:r>
        <w:rPr>
          <w:rFonts w:ascii="宋体" w:hAnsi="宋体" w:eastAsia="宋体"/>
          <w:color w:val="auto"/>
          <w:highlight w:val="none"/>
        </w:rPr>
        <w:t>3、对不符合设备正常运行或有可能造成医疗安全隐患的设备，出具解决改进方案并按时执行，保证设备性能、备件的完好性。每次巡查应详细记录，并提交预防维护措施。</w:t>
      </w:r>
    </w:p>
    <w:p>
      <w:pPr>
        <w:spacing w:line="288" w:lineRule="auto"/>
        <w:ind w:firstLine="480"/>
        <w:rPr>
          <w:rFonts w:hint="eastAsia" w:ascii="宋体" w:hAnsi="宋体" w:eastAsia="宋体"/>
          <w:color w:val="auto"/>
          <w:highlight w:val="none"/>
        </w:rPr>
      </w:pPr>
      <w:r>
        <w:rPr>
          <w:rFonts w:hint="eastAsia" w:ascii="宋体" w:hAnsi="宋体" w:eastAsia="宋体"/>
          <w:color w:val="auto"/>
          <w:highlight w:val="none"/>
          <w:lang w:val="en-US" w:eastAsia="zh-CN"/>
        </w:rPr>
        <w:t>4.</w:t>
      </w:r>
      <w:r>
        <w:rPr>
          <w:rFonts w:hint="eastAsia" w:ascii="宋体" w:hAnsi="宋体" w:eastAsia="宋体"/>
          <w:color w:val="auto"/>
          <w:highlight w:val="none"/>
        </w:rPr>
        <w:t>每年进行一次全院</w:t>
      </w:r>
      <w:r>
        <w:rPr>
          <w:rFonts w:hint="eastAsia" w:ascii="宋体" w:hAnsi="宋体" w:eastAsia="宋体"/>
          <w:color w:val="auto"/>
          <w:highlight w:val="none"/>
          <w:lang w:val="en-US" w:eastAsia="zh-CN"/>
        </w:rPr>
        <w:t>医疗</w:t>
      </w:r>
      <w:r>
        <w:rPr>
          <w:rFonts w:hint="eastAsia" w:ascii="宋体" w:hAnsi="宋体" w:eastAsia="宋体"/>
          <w:color w:val="auto"/>
          <w:highlight w:val="none"/>
        </w:rPr>
        <w:t>设备盘点</w:t>
      </w:r>
      <w:r>
        <w:rPr>
          <w:rFonts w:hint="eastAsia" w:ascii="宋体" w:hAnsi="宋体" w:eastAsia="宋体"/>
          <w:color w:val="auto"/>
          <w:highlight w:val="none"/>
          <w:lang w:val="en-US" w:eastAsia="zh-CN"/>
        </w:rPr>
        <w:t>工作</w:t>
      </w:r>
      <w:r>
        <w:rPr>
          <w:rFonts w:hint="eastAsia" w:ascii="宋体" w:hAnsi="宋体" w:eastAsia="宋体"/>
          <w:color w:val="auto"/>
          <w:highlight w:val="none"/>
        </w:rPr>
        <w:t>。</w:t>
      </w:r>
    </w:p>
    <w:p>
      <w:pPr>
        <w:spacing w:line="288" w:lineRule="auto"/>
        <w:ind w:firstLine="0"/>
        <w:rPr>
          <w:rFonts w:hint="eastAsia" w:ascii="宋体" w:hAnsi="宋体" w:eastAsia="宋体"/>
          <w:color w:val="auto"/>
          <w:highlight w:val="none"/>
          <w:lang w:val="en-US" w:eastAsia="zh-CN"/>
        </w:rPr>
      </w:pPr>
    </w:p>
    <w:p>
      <w:pPr>
        <w:spacing w:line="288" w:lineRule="auto"/>
        <w:ind w:firstLine="480"/>
        <w:rPr>
          <w:rFonts w:ascii="宋体" w:hAnsi="宋体" w:eastAsia="宋体"/>
          <w:color w:val="auto"/>
          <w:highlight w:val="none"/>
        </w:rPr>
      </w:pPr>
      <w:r>
        <w:rPr>
          <w:rFonts w:ascii="宋体" w:hAnsi="宋体" w:eastAsia="宋体"/>
          <w:color w:val="auto"/>
          <w:highlight w:val="none"/>
        </w:rPr>
        <w:t>（四）日常保养计划及执行</w:t>
      </w:r>
    </w:p>
    <w:p>
      <w:pPr>
        <w:spacing w:line="288" w:lineRule="auto"/>
        <w:ind w:firstLine="480"/>
        <w:rPr>
          <w:rFonts w:ascii="宋体" w:hAnsi="宋体" w:eastAsia="宋体"/>
          <w:color w:val="auto"/>
          <w:highlight w:val="none"/>
        </w:rPr>
      </w:pPr>
      <w:r>
        <w:rPr>
          <w:rFonts w:ascii="宋体" w:hAnsi="宋体" w:eastAsia="宋体"/>
          <w:color w:val="auto"/>
          <w:highlight w:val="none"/>
        </w:rPr>
        <w:t>1、对生命支持类设备和10万</w:t>
      </w:r>
      <w:r>
        <w:rPr>
          <w:rFonts w:hint="eastAsia" w:ascii="宋体" w:hAnsi="宋体" w:eastAsia="宋体"/>
          <w:color w:val="auto"/>
          <w:highlight w:val="none"/>
          <w:lang w:val="en-US" w:eastAsia="zh-CN"/>
        </w:rPr>
        <w:t>元</w:t>
      </w:r>
      <w:r>
        <w:rPr>
          <w:rFonts w:ascii="宋体" w:hAnsi="宋体" w:eastAsia="宋体"/>
          <w:color w:val="auto"/>
          <w:highlight w:val="none"/>
        </w:rPr>
        <w:t>以上的设备，保养</w:t>
      </w:r>
      <w:r>
        <w:rPr>
          <w:rFonts w:hint="eastAsia" w:ascii="宋体" w:hAnsi="宋体" w:eastAsia="宋体"/>
          <w:color w:val="auto"/>
          <w:highlight w:val="none"/>
          <w:lang w:val="en-US" w:eastAsia="zh-CN"/>
        </w:rPr>
        <w:t>周期</w:t>
      </w:r>
      <w:r>
        <w:rPr>
          <w:rFonts w:ascii="宋体" w:hAnsi="宋体" w:eastAsia="宋体"/>
          <w:color w:val="auto"/>
          <w:highlight w:val="none"/>
        </w:rPr>
        <w:t>为每三个月一次，一年四次； 1～1</w:t>
      </w:r>
      <w:r>
        <w:rPr>
          <w:rFonts w:hint="eastAsia" w:ascii="宋体" w:hAnsi="宋体" w:eastAsia="宋体"/>
          <w:color w:val="auto"/>
          <w:highlight w:val="none"/>
          <w:lang w:val="en-US" w:eastAsia="zh-CN"/>
        </w:rPr>
        <w:t>0</w:t>
      </w:r>
      <w:r>
        <w:rPr>
          <w:rFonts w:ascii="宋体" w:hAnsi="宋体" w:eastAsia="宋体"/>
          <w:color w:val="auto"/>
          <w:highlight w:val="none"/>
        </w:rPr>
        <w:t>万</w:t>
      </w:r>
      <w:r>
        <w:rPr>
          <w:rFonts w:hint="eastAsia" w:ascii="宋体" w:hAnsi="宋体" w:eastAsia="宋体"/>
          <w:color w:val="auto"/>
          <w:highlight w:val="none"/>
          <w:lang w:val="en-US" w:eastAsia="zh-CN"/>
        </w:rPr>
        <w:t>元</w:t>
      </w:r>
      <w:r>
        <w:rPr>
          <w:rFonts w:ascii="宋体" w:hAnsi="宋体" w:eastAsia="宋体"/>
          <w:color w:val="auto"/>
          <w:highlight w:val="none"/>
        </w:rPr>
        <w:t>的设备半年做一次保养；万元以下的设备一年做一次保养。</w:t>
      </w:r>
    </w:p>
    <w:p>
      <w:pPr>
        <w:spacing w:line="288" w:lineRule="auto"/>
        <w:ind w:firstLine="480"/>
        <w:rPr>
          <w:rFonts w:ascii="宋体" w:hAnsi="宋体" w:eastAsia="宋体"/>
          <w:color w:val="auto"/>
          <w:highlight w:val="none"/>
        </w:rPr>
      </w:pPr>
      <w:r>
        <w:rPr>
          <w:rFonts w:ascii="宋体" w:hAnsi="宋体" w:eastAsia="宋体"/>
          <w:color w:val="auto"/>
          <w:highlight w:val="none"/>
        </w:rPr>
        <w:t>2、服务期成交供应商应制订各科室医疗设备保养计划，经采购人设备主管部门审核后，按计划对采购人的医疗设备进行保养。</w:t>
      </w:r>
    </w:p>
    <w:p>
      <w:pPr>
        <w:spacing w:line="288" w:lineRule="auto"/>
        <w:ind w:firstLine="480"/>
        <w:rPr>
          <w:rFonts w:ascii="宋体" w:hAnsi="宋体" w:eastAsia="宋体"/>
          <w:color w:val="auto"/>
          <w:highlight w:val="none"/>
        </w:rPr>
      </w:pPr>
      <w:r>
        <w:rPr>
          <w:rFonts w:ascii="宋体" w:hAnsi="宋体" w:eastAsia="宋体"/>
          <w:color w:val="auto"/>
          <w:highlight w:val="none"/>
        </w:rPr>
        <w:t>3、</w:t>
      </w:r>
      <w:r>
        <w:rPr>
          <w:rFonts w:hint="eastAsia" w:ascii="宋体" w:hAnsi="宋体" w:eastAsia="宋体"/>
          <w:color w:val="auto"/>
          <w:highlight w:val="none"/>
          <w:lang w:val="en-US" w:eastAsia="zh-CN"/>
        </w:rPr>
        <w:t>设备保养结束后，供应商现场向使用科室提供</w:t>
      </w:r>
      <w:r>
        <w:rPr>
          <w:rFonts w:ascii="宋体" w:hAnsi="宋体" w:eastAsia="宋体"/>
          <w:color w:val="auto"/>
          <w:highlight w:val="none"/>
        </w:rPr>
        <w:t>维护保养报告</w:t>
      </w:r>
    </w:p>
    <w:p>
      <w:pPr>
        <w:spacing w:line="288" w:lineRule="auto"/>
        <w:ind w:firstLine="480"/>
        <w:rPr>
          <w:rFonts w:hint="default" w:ascii="宋体" w:hAnsi="宋体" w:eastAsia="宋体" w:cs="宋体"/>
          <w:color w:val="auto"/>
          <w:sz w:val="24"/>
          <w:szCs w:val="24"/>
          <w:highlight w:val="none"/>
          <w:lang w:val="en-US" w:eastAsia="zh-CN"/>
        </w:rPr>
      </w:pPr>
    </w:p>
    <w:p>
      <w:pPr>
        <w:spacing w:line="288" w:lineRule="auto"/>
        <w:ind w:firstLine="480"/>
        <w:rPr>
          <w:rFonts w:ascii="宋体" w:hAnsi="宋体" w:eastAsia="宋体"/>
          <w:color w:val="auto"/>
          <w:highlight w:val="none"/>
        </w:rPr>
      </w:pPr>
      <w:r>
        <w:rPr>
          <w:rFonts w:ascii="宋体" w:hAnsi="宋体" w:eastAsia="宋体"/>
          <w:color w:val="auto"/>
          <w:highlight w:val="none"/>
        </w:rPr>
        <w:t>（五）生命支持类设备质控服务</w:t>
      </w:r>
    </w:p>
    <w:p>
      <w:pPr>
        <w:spacing w:line="288" w:lineRule="auto"/>
        <w:ind w:firstLine="720" w:firstLineChars="300"/>
        <w:rPr>
          <w:rFonts w:ascii="宋体" w:hAnsi="宋体" w:eastAsia="宋体"/>
          <w:color w:val="auto"/>
          <w:highlight w:val="none"/>
        </w:rPr>
      </w:pPr>
      <w:r>
        <w:rPr>
          <w:rFonts w:hint="eastAsia" w:ascii="宋体" w:hAnsi="宋体" w:eastAsia="宋体"/>
          <w:color w:val="auto"/>
          <w:highlight w:val="none"/>
          <w:lang w:val="en-US" w:eastAsia="zh-CN"/>
        </w:rPr>
        <w:t>1、</w:t>
      </w:r>
      <w:r>
        <w:rPr>
          <w:rFonts w:ascii="宋体" w:hAnsi="宋体" w:eastAsia="宋体"/>
          <w:color w:val="auto"/>
          <w:highlight w:val="none"/>
        </w:rPr>
        <w:t>生命支持类设备服务内容：</w:t>
      </w:r>
    </w:p>
    <w:p>
      <w:pPr>
        <w:spacing w:line="288" w:lineRule="auto"/>
        <w:ind w:firstLine="720" w:firstLineChars="300"/>
        <w:rPr>
          <w:rFonts w:ascii="宋体" w:hAnsi="宋体" w:eastAsia="宋体"/>
          <w:color w:val="auto"/>
          <w:highlight w:val="none"/>
        </w:rPr>
      </w:pPr>
      <w:r>
        <w:rPr>
          <w:rFonts w:ascii="宋体" w:hAnsi="宋体" w:eastAsia="宋体"/>
          <w:color w:val="auto"/>
          <w:highlight w:val="none"/>
        </w:rPr>
        <w:t>① 年度质量控制抽检（监护仪、注射泵/输液泵抽检）</w:t>
      </w:r>
    </w:p>
    <w:p>
      <w:pPr>
        <w:keepNext w:val="0"/>
        <w:keepLines w:val="0"/>
        <w:pageBreakBefore w:val="0"/>
        <w:widowControl/>
        <w:kinsoku/>
        <w:wordWrap/>
        <w:overflowPunct/>
        <w:topLinePunct w:val="0"/>
        <w:autoSpaceDE/>
        <w:autoSpaceDN/>
        <w:bidi w:val="0"/>
        <w:adjustRightInd/>
        <w:snapToGrid/>
        <w:spacing w:line="288" w:lineRule="auto"/>
        <w:ind w:left="0" w:leftChars="0" w:firstLine="720" w:firstLineChars="300"/>
        <w:textAlignment w:val="auto"/>
        <w:rPr>
          <w:rFonts w:ascii="宋体" w:hAnsi="宋体" w:eastAsia="宋体"/>
          <w:color w:val="auto"/>
          <w:highlight w:val="none"/>
        </w:rPr>
      </w:pPr>
      <w:r>
        <w:rPr>
          <w:rFonts w:ascii="宋体" w:hAnsi="宋体" w:eastAsia="宋体"/>
          <w:color w:val="auto"/>
          <w:highlight w:val="none"/>
        </w:rPr>
        <w:t>② 呼吸机、除颤仪、麻醉机质量控制一年一次。</w:t>
      </w:r>
    </w:p>
    <w:p>
      <w:pPr>
        <w:spacing w:line="288" w:lineRule="auto"/>
        <w:ind w:firstLine="720" w:firstLineChars="300"/>
        <w:rPr>
          <w:rFonts w:ascii="宋体" w:hAnsi="宋体" w:eastAsia="宋体"/>
          <w:color w:val="auto"/>
          <w:highlight w:val="none"/>
        </w:rPr>
      </w:pPr>
      <w:r>
        <w:rPr>
          <w:rFonts w:hint="default" w:ascii="宋体" w:hAnsi="宋体" w:eastAsia="宋体"/>
          <w:color w:val="auto"/>
          <w:sz w:val="24"/>
          <w:szCs w:val="24"/>
          <w:highlight w:val="none"/>
        </w:rPr>
        <w:t>③</w:t>
      </w:r>
      <w:r>
        <w:rPr>
          <w:rFonts w:hint="eastAsia" w:ascii="宋体" w:hAnsi="宋体" w:eastAsia="宋体"/>
          <w:color w:val="auto"/>
          <w:sz w:val="24"/>
          <w:szCs w:val="24"/>
          <w:highlight w:val="none"/>
          <w:lang w:val="en-US" w:eastAsia="zh-CN"/>
        </w:rPr>
        <w:t xml:space="preserve"> </w:t>
      </w:r>
      <w:r>
        <w:rPr>
          <w:rFonts w:hint="default" w:ascii="宋体" w:hAnsi="宋体" w:eastAsia="宋体"/>
          <w:color w:val="auto"/>
          <w:sz w:val="24"/>
          <w:szCs w:val="24"/>
          <w:highlight w:val="none"/>
        </w:rPr>
        <w:t>年度电气安全抽检。</w:t>
      </w:r>
    </w:p>
    <w:p>
      <w:pPr>
        <w:spacing w:line="288" w:lineRule="auto"/>
        <w:ind w:firstLine="720" w:firstLineChars="300"/>
        <w:rPr>
          <w:rFonts w:ascii="宋体" w:hAnsi="宋体" w:eastAsia="宋体"/>
          <w:color w:val="auto"/>
          <w:highlight w:val="none"/>
        </w:rPr>
      </w:pPr>
      <w:r>
        <w:rPr>
          <w:rFonts w:hint="eastAsia" w:ascii="宋体" w:hAnsi="宋体" w:eastAsia="宋体"/>
          <w:color w:val="auto"/>
          <w:highlight w:val="none"/>
          <w:lang w:val="en-US" w:eastAsia="zh-CN"/>
        </w:rPr>
        <w:t>2、</w:t>
      </w:r>
      <w:r>
        <w:rPr>
          <w:rFonts w:ascii="宋体" w:hAnsi="宋体" w:eastAsia="宋体"/>
          <w:color w:val="auto"/>
          <w:highlight w:val="none"/>
        </w:rPr>
        <w:t>成交供应商拟投入的</w:t>
      </w:r>
      <w:bookmarkStart w:id="5" w:name="OLE_LINK12"/>
      <w:bookmarkStart w:id="6" w:name="OLE_LINK13"/>
      <w:r>
        <w:rPr>
          <w:rFonts w:ascii="宋体" w:hAnsi="宋体" w:eastAsia="宋体"/>
          <w:color w:val="auto"/>
          <w:highlight w:val="none"/>
        </w:rPr>
        <w:t>质控检测设备</w:t>
      </w:r>
      <w:bookmarkEnd w:id="5"/>
      <w:bookmarkEnd w:id="6"/>
      <w:r>
        <w:rPr>
          <w:rFonts w:ascii="宋体" w:hAnsi="宋体" w:eastAsia="宋体"/>
          <w:color w:val="auto"/>
          <w:highlight w:val="none"/>
        </w:rPr>
        <w:t>包括但不限于：</w:t>
      </w:r>
      <w:r>
        <w:rPr>
          <w:rFonts w:hint="eastAsia" w:ascii="宋体" w:hAnsi="宋体" w:eastAsia="宋体" w:cs="宋体"/>
          <w:color w:val="auto"/>
          <w:highlight w:val="none"/>
        </w:rPr>
        <w:t>①医用电气安全分析仪、②多参数生命体征模拟仪、③除颤/起博器分析仪、④气流分析仪、⑤注射泵和输液泵检测仪、⑥高频电刀质量检测仪</w:t>
      </w:r>
      <w:r>
        <w:rPr>
          <w:rFonts w:ascii="宋体" w:hAnsi="宋体" w:eastAsia="宋体"/>
          <w:color w:val="auto"/>
          <w:highlight w:val="none"/>
        </w:rPr>
        <w:t>等</w:t>
      </w:r>
      <w:r>
        <w:rPr>
          <w:rFonts w:hint="eastAsia" w:ascii="宋体" w:hAnsi="宋体" w:eastAsia="宋体"/>
          <w:color w:val="auto"/>
          <w:highlight w:val="none"/>
        </w:rPr>
        <w:t>，</w:t>
      </w:r>
      <w:r>
        <w:rPr>
          <w:rFonts w:ascii="宋体" w:hAnsi="宋体" w:eastAsia="宋体"/>
          <w:color w:val="auto"/>
          <w:highlight w:val="none"/>
        </w:rPr>
        <w:t>完成质控检测</w:t>
      </w:r>
      <w:r>
        <w:rPr>
          <w:rFonts w:hint="eastAsia" w:ascii="宋体" w:hAnsi="宋体" w:eastAsia="宋体"/>
          <w:color w:val="auto"/>
          <w:highlight w:val="none"/>
        </w:rPr>
        <w:t>，</w:t>
      </w:r>
      <w:r>
        <w:rPr>
          <w:rFonts w:ascii="宋体" w:hAnsi="宋体" w:eastAsia="宋体"/>
          <w:color w:val="auto"/>
          <w:highlight w:val="none"/>
        </w:rPr>
        <w:t>检测设备</w:t>
      </w:r>
      <w:r>
        <w:rPr>
          <w:rFonts w:hint="eastAsia" w:ascii="宋体" w:hAnsi="宋体" w:eastAsia="宋体"/>
          <w:color w:val="auto"/>
          <w:highlight w:val="none"/>
        </w:rPr>
        <w:t>的</w:t>
      </w:r>
      <w:r>
        <w:rPr>
          <w:rFonts w:ascii="宋体" w:hAnsi="宋体" w:eastAsia="宋体"/>
          <w:color w:val="auto"/>
          <w:highlight w:val="none"/>
        </w:rPr>
        <w:t>相关质控报告</w:t>
      </w:r>
      <w:r>
        <w:rPr>
          <w:rFonts w:hint="eastAsia" w:ascii="宋体" w:hAnsi="宋体" w:eastAsia="宋体"/>
          <w:color w:val="auto"/>
          <w:highlight w:val="none"/>
          <w:lang w:eastAsia="zh-CN"/>
        </w:rPr>
        <w:t>（包括但不限于质控数据、分析结论、改进建议等），</w:t>
      </w:r>
      <w:r>
        <w:rPr>
          <w:rFonts w:hint="eastAsia" w:ascii="宋体" w:hAnsi="宋体" w:eastAsia="宋体"/>
          <w:color w:val="auto"/>
          <w:highlight w:val="none"/>
          <w:lang w:val="en-US" w:eastAsia="zh-CN"/>
        </w:rPr>
        <w:t>并</w:t>
      </w:r>
      <w:r>
        <w:rPr>
          <w:rFonts w:ascii="宋体" w:hAnsi="宋体" w:eastAsia="宋体"/>
          <w:color w:val="auto"/>
          <w:highlight w:val="none"/>
        </w:rPr>
        <w:t>在15个工作日内提供给采购人。</w:t>
      </w:r>
    </w:p>
    <w:p>
      <w:pPr>
        <w:spacing w:line="288" w:lineRule="auto"/>
        <w:ind w:firstLine="720" w:firstLineChars="300"/>
        <w:rPr>
          <w:rFonts w:ascii="宋体" w:hAnsi="宋体" w:eastAsia="宋体"/>
          <w:color w:val="auto"/>
          <w:highlight w:val="none"/>
        </w:rPr>
      </w:pPr>
      <w:r>
        <w:rPr>
          <w:rFonts w:hint="eastAsia" w:ascii="宋体" w:hAnsi="宋体" w:eastAsia="宋体"/>
          <w:color w:val="auto"/>
          <w:highlight w:val="none"/>
          <w:lang w:val="en-US" w:eastAsia="zh-CN"/>
        </w:rPr>
        <w:t>3、</w:t>
      </w:r>
      <w:r>
        <w:rPr>
          <w:rFonts w:ascii="宋体" w:hAnsi="宋体" w:eastAsia="宋体"/>
          <w:color w:val="auto"/>
          <w:highlight w:val="none"/>
        </w:rPr>
        <w:t>供应商</w:t>
      </w:r>
      <w:r>
        <w:rPr>
          <w:rFonts w:hint="eastAsia" w:ascii="宋体" w:hAnsi="宋体" w:eastAsia="宋体"/>
          <w:color w:val="auto"/>
          <w:highlight w:val="none"/>
          <w:lang w:val="en-US" w:eastAsia="zh-CN"/>
        </w:rPr>
        <w:t>需制定详细的年度质控计划，并明确质控频次、质控项目及质控标准。</w:t>
      </w:r>
      <w:r>
        <w:rPr>
          <w:rFonts w:ascii="宋体" w:hAnsi="宋体" w:eastAsia="宋体"/>
          <w:color w:val="auto"/>
          <w:highlight w:val="none"/>
        </w:rPr>
        <w:t xml:space="preserve">   </w:t>
      </w:r>
    </w:p>
    <w:p>
      <w:pPr>
        <w:spacing w:line="288" w:lineRule="auto"/>
        <w:ind w:firstLine="0"/>
        <w:rPr>
          <w:rFonts w:hint="eastAsia" w:ascii="宋体" w:hAnsi="宋体" w:eastAsia="宋体"/>
          <w:color w:val="auto"/>
          <w:highlight w:val="none"/>
        </w:rPr>
      </w:pPr>
    </w:p>
    <w:p>
      <w:pPr>
        <w:spacing w:line="288" w:lineRule="auto"/>
        <w:ind w:firstLine="480"/>
        <w:rPr>
          <w:rFonts w:hint="eastAsia" w:ascii="宋体" w:hAnsi="宋体" w:eastAsia="宋体"/>
          <w:color w:val="auto"/>
          <w:highlight w:val="none"/>
          <w:lang w:val="en-US" w:eastAsia="zh-CN"/>
        </w:rPr>
      </w:pPr>
      <w:r>
        <w:rPr>
          <w:rFonts w:hint="eastAsia" w:ascii="宋体" w:hAnsi="宋体" w:eastAsia="宋体"/>
          <w:color w:val="auto"/>
          <w:highlight w:val="none"/>
        </w:rPr>
        <w:t>（六）医疗设备管理</w:t>
      </w:r>
      <w:r>
        <w:rPr>
          <w:rFonts w:hint="eastAsia" w:ascii="宋体" w:hAnsi="宋体" w:eastAsia="宋体"/>
          <w:color w:val="auto"/>
          <w:highlight w:val="none"/>
          <w:lang w:val="en-US" w:eastAsia="zh-CN"/>
        </w:rPr>
        <w:t>系统服务</w:t>
      </w:r>
    </w:p>
    <w:p>
      <w:pPr>
        <w:spacing w:line="288" w:lineRule="auto"/>
        <w:ind w:firstLine="480"/>
        <w:rPr>
          <w:rFonts w:hint="eastAsia" w:ascii="宋体" w:hAnsi="宋体" w:eastAsia="宋体"/>
          <w:color w:val="auto"/>
          <w:highlight w:val="none"/>
        </w:rPr>
      </w:pPr>
      <w:r>
        <w:rPr>
          <w:rFonts w:hint="eastAsia" w:ascii="宋体" w:hAnsi="宋体" w:eastAsia="宋体"/>
          <w:color w:val="auto"/>
          <w:highlight w:val="none"/>
        </w:rPr>
        <w:t>▲</w:t>
      </w:r>
      <w:r>
        <w:rPr>
          <w:rFonts w:hint="eastAsia" w:ascii="宋体" w:hAnsi="宋体" w:eastAsia="宋体"/>
          <w:color w:val="auto"/>
          <w:highlight w:val="none"/>
          <w:lang w:val="en-US" w:eastAsia="zh-CN"/>
        </w:rPr>
        <w:t>1.</w:t>
      </w:r>
      <w:r>
        <w:rPr>
          <w:rFonts w:hint="eastAsia" w:ascii="宋体" w:hAnsi="宋体" w:eastAsia="宋体"/>
          <w:color w:val="auto"/>
          <w:highlight w:val="none"/>
        </w:rPr>
        <w:t>提供成熟的医疗设备全生命周期管理</w:t>
      </w:r>
      <w:r>
        <w:rPr>
          <w:rFonts w:hint="eastAsia" w:ascii="宋体" w:hAnsi="宋体" w:eastAsia="宋体"/>
          <w:color w:val="auto"/>
          <w:highlight w:val="none"/>
          <w:lang w:val="en-US" w:eastAsia="zh-CN"/>
        </w:rPr>
        <w:t>系统</w:t>
      </w:r>
      <w:r>
        <w:rPr>
          <w:rFonts w:hint="eastAsia" w:ascii="宋体" w:hAnsi="宋体" w:eastAsia="宋体"/>
          <w:color w:val="auto"/>
          <w:highlight w:val="none"/>
        </w:rPr>
        <w:t>，</w:t>
      </w:r>
      <w:r>
        <w:rPr>
          <w:rFonts w:hint="eastAsia" w:ascii="宋体" w:hAnsi="宋体" w:eastAsia="宋体"/>
          <w:color w:val="auto"/>
          <w:highlight w:val="none"/>
          <w:lang w:val="en-US" w:eastAsia="zh-CN"/>
        </w:rPr>
        <w:t>系统</w:t>
      </w:r>
      <w:r>
        <w:rPr>
          <w:rFonts w:hint="eastAsia" w:ascii="宋体" w:hAnsi="宋体" w:eastAsia="宋体"/>
          <w:color w:val="auto"/>
          <w:highlight w:val="none"/>
        </w:rPr>
        <w:t>包含但不限于：设备台账、采购入库、</w:t>
      </w:r>
      <w:r>
        <w:rPr>
          <w:rFonts w:hint="eastAsia" w:ascii="宋体" w:hAnsi="宋体" w:eastAsia="宋体"/>
          <w:color w:val="auto"/>
          <w:highlight w:val="none"/>
          <w:lang w:val="en-US" w:eastAsia="zh-CN"/>
        </w:rPr>
        <w:t>设备验收</w:t>
      </w:r>
      <w:r>
        <w:rPr>
          <w:rFonts w:hint="eastAsia" w:ascii="宋体" w:hAnsi="宋体" w:eastAsia="宋体"/>
          <w:color w:val="auto"/>
          <w:highlight w:val="none"/>
        </w:rPr>
        <w:t>、</w:t>
      </w:r>
      <w:r>
        <w:rPr>
          <w:rFonts w:hint="eastAsia" w:ascii="宋体" w:hAnsi="宋体" w:eastAsia="宋体"/>
          <w:color w:val="auto"/>
          <w:highlight w:val="none"/>
          <w:lang w:val="en-US" w:eastAsia="zh-CN"/>
        </w:rPr>
        <w:t>设备培训、</w:t>
      </w:r>
      <w:r>
        <w:rPr>
          <w:rFonts w:hint="eastAsia" w:ascii="宋体" w:hAnsi="宋体" w:eastAsia="宋体"/>
          <w:color w:val="auto"/>
          <w:highlight w:val="none"/>
        </w:rPr>
        <w:t>维修保养、</w:t>
      </w:r>
      <w:r>
        <w:rPr>
          <w:rFonts w:hint="eastAsia" w:ascii="宋体" w:hAnsi="宋体" w:eastAsia="宋体"/>
          <w:color w:val="auto"/>
          <w:highlight w:val="none"/>
          <w:lang w:val="en-US" w:eastAsia="zh-CN"/>
        </w:rPr>
        <w:t>质控、</w:t>
      </w:r>
      <w:r>
        <w:rPr>
          <w:rFonts w:hint="eastAsia" w:ascii="宋体" w:hAnsi="宋体" w:eastAsia="宋体"/>
          <w:color w:val="auto"/>
          <w:highlight w:val="none"/>
        </w:rPr>
        <w:t>计量检定、报废、统计报表等模块。</w:t>
      </w:r>
    </w:p>
    <w:p>
      <w:pPr>
        <w:spacing w:line="288" w:lineRule="auto"/>
        <w:ind w:firstLine="480"/>
        <w:rPr>
          <w:rFonts w:hint="eastAsia" w:ascii="宋体" w:hAnsi="宋体" w:eastAsia="宋体"/>
          <w:color w:val="auto"/>
          <w:highlight w:val="none"/>
        </w:rPr>
      </w:pPr>
      <w:r>
        <w:rPr>
          <w:rFonts w:hint="eastAsia" w:ascii="宋体" w:hAnsi="宋体" w:eastAsia="宋体"/>
          <w:color w:val="auto"/>
          <w:highlight w:val="none"/>
          <w:lang w:val="en-US" w:eastAsia="zh-CN"/>
        </w:rPr>
        <w:t>2.</w:t>
      </w:r>
      <w:r>
        <w:rPr>
          <w:rFonts w:hint="eastAsia" w:ascii="宋体" w:hAnsi="宋体" w:eastAsia="宋体"/>
          <w:color w:val="auto"/>
          <w:highlight w:val="none"/>
        </w:rPr>
        <w:t>提供安装部署、初始化配置、</w:t>
      </w:r>
      <w:r>
        <w:rPr>
          <w:rFonts w:hint="eastAsia" w:ascii="宋体" w:hAnsi="宋体" w:eastAsia="宋体"/>
          <w:color w:val="auto"/>
          <w:highlight w:val="none"/>
          <w:lang w:val="en-US" w:eastAsia="zh-CN"/>
        </w:rPr>
        <w:t>前期</w:t>
      </w:r>
      <w:r>
        <w:rPr>
          <w:rFonts w:hint="eastAsia" w:ascii="宋体" w:hAnsi="宋体" w:eastAsia="宋体"/>
          <w:color w:val="auto"/>
          <w:highlight w:val="none"/>
        </w:rPr>
        <w:t>数据导入服务，完成全院在用医疗设备信息录入与建档。</w:t>
      </w:r>
    </w:p>
    <w:p>
      <w:pPr>
        <w:spacing w:line="288" w:lineRule="auto"/>
        <w:ind w:firstLine="480"/>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3.合约结束后医院仍具有管理系统使用权，直至完成系统数据迁移，</w:t>
      </w:r>
      <w:r>
        <w:rPr>
          <w:rFonts w:ascii="宋体" w:hAnsi="宋体" w:eastAsia="宋体"/>
          <w:color w:val="auto"/>
          <w:highlight w:val="none"/>
        </w:rPr>
        <w:t>成交供应商</w:t>
      </w:r>
      <w:r>
        <w:rPr>
          <w:rFonts w:hint="eastAsia" w:ascii="宋体" w:hAnsi="宋体" w:eastAsia="宋体"/>
          <w:color w:val="auto"/>
          <w:highlight w:val="none"/>
          <w:lang w:val="en-US" w:eastAsia="zh-CN"/>
        </w:rPr>
        <w:t>需配合完成数据迁移工作。</w:t>
      </w:r>
    </w:p>
    <w:p>
      <w:pPr>
        <w:spacing w:line="288" w:lineRule="auto"/>
        <w:ind w:firstLine="480"/>
        <w:rPr>
          <w:rFonts w:hint="default" w:ascii="宋体" w:hAnsi="宋体" w:eastAsia="宋体"/>
          <w:color w:val="auto"/>
          <w:highlight w:val="none"/>
          <w:lang w:val="en-US" w:eastAsia="zh-CN"/>
        </w:rPr>
      </w:pPr>
      <w:r>
        <w:rPr>
          <w:rFonts w:hint="eastAsia" w:ascii="宋体" w:hAnsi="宋体" w:eastAsia="宋体"/>
          <w:color w:val="auto"/>
          <w:highlight w:val="none"/>
          <w:lang w:val="en-US" w:eastAsia="zh-CN"/>
        </w:rPr>
        <w:t>4.</w:t>
      </w:r>
      <w:r>
        <w:rPr>
          <w:rFonts w:ascii="宋体" w:hAnsi="宋体" w:eastAsia="宋体"/>
          <w:color w:val="auto"/>
          <w:highlight w:val="none"/>
        </w:rPr>
        <w:t>供应商</w:t>
      </w:r>
      <w:r>
        <w:rPr>
          <w:rFonts w:hint="eastAsia" w:ascii="宋体" w:hAnsi="宋体" w:eastAsia="宋体"/>
          <w:color w:val="auto"/>
          <w:highlight w:val="none"/>
          <w:lang w:val="en-US" w:eastAsia="zh-CN"/>
        </w:rPr>
        <w:t>确保医疗设备管理系统的数据安全，采取必要的数据加密、备份等措施，提供方案及承诺函。</w:t>
      </w:r>
    </w:p>
    <w:p>
      <w:pPr>
        <w:numPr>
          <w:ilvl w:val="0"/>
          <w:numId w:val="4"/>
        </w:numPr>
        <w:spacing w:line="288" w:lineRule="auto"/>
        <w:ind w:firstLine="480"/>
        <w:rPr>
          <w:rFonts w:hint="eastAsia" w:ascii="宋体" w:hAnsi="宋体" w:eastAsia="宋体"/>
          <w:color w:val="auto"/>
          <w:highlight w:val="none"/>
        </w:rPr>
      </w:pPr>
      <w:r>
        <w:rPr>
          <w:rFonts w:hint="eastAsia" w:ascii="宋体" w:hAnsi="宋体" w:eastAsia="宋体"/>
          <w:color w:val="auto"/>
          <w:highlight w:val="none"/>
        </w:rPr>
        <w:t>协助完成医院</w:t>
      </w:r>
      <w:r>
        <w:rPr>
          <w:rFonts w:hint="eastAsia" w:ascii="宋体" w:hAnsi="宋体" w:eastAsia="宋体"/>
          <w:color w:val="auto"/>
          <w:highlight w:val="none"/>
          <w:lang w:val="en-US" w:eastAsia="zh-CN"/>
        </w:rPr>
        <w:t>其他</w:t>
      </w:r>
      <w:r>
        <w:rPr>
          <w:rFonts w:hint="eastAsia" w:ascii="宋体" w:hAnsi="宋体" w:eastAsia="宋体"/>
          <w:color w:val="auto"/>
          <w:highlight w:val="none"/>
        </w:rPr>
        <w:t>设备</w:t>
      </w:r>
      <w:r>
        <w:rPr>
          <w:rFonts w:hint="eastAsia" w:ascii="宋体" w:hAnsi="宋体" w:eastAsia="宋体"/>
          <w:color w:val="auto"/>
          <w:highlight w:val="none"/>
          <w:lang w:val="en-US" w:eastAsia="zh-CN"/>
        </w:rPr>
        <w:t>管理</w:t>
      </w:r>
      <w:r>
        <w:rPr>
          <w:rFonts w:hint="eastAsia" w:ascii="宋体" w:hAnsi="宋体" w:eastAsia="宋体"/>
          <w:color w:val="auto"/>
          <w:highlight w:val="none"/>
        </w:rPr>
        <w:t>相关工作</w:t>
      </w:r>
    </w:p>
    <w:p>
      <w:pPr>
        <w:spacing w:line="288" w:lineRule="auto"/>
        <w:ind w:firstLine="0"/>
        <w:rPr>
          <w:rFonts w:ascii="宋体" w:hAnsi="宋体" w:eastAsia="宋体"/>
          <w:color w:val="auto"/>
          <w:highlight w:val="none"/>
        </w:rPr>
      </w:pPr>
    </w:p>
    <w:p>
      <w:pPr>
        <w:spacing w:line="288" w:lineRule="auto"/>
        <w:ind w:firstLine="480"/>
        <w:rPr>
          <w:rFonts w:ascii="宋体" w:hAnsi="宋体" w:eastAsia="宋体"/>
          <w:color w:val="auto"/>
          <w:highlight w:val="none"/>
        </w:rPr>
      </w:pPr>
      <w:r>
        <w:rPr>
          <w:rFonts w:hint="eastAsia" w:ascii="宋体" w:hAnsi="宋体" w:eastAsia="宋体"/>
          <w:color w:val="auto"/>
          <w:highlight w:val="none"/>
          <w:lang w:val="en-US" w:eastAsia="zh-CN"/>
        </w:rPr>
        <w:t>四、</w:t>
      </w:r>
      <w:r>
        <w:rPr>
          <w:rFonts w:ascii="宋体" w:hAnsi="宋体" w:eastAsia="宋体"/>
          <w:color w:val="auto"/>
          <w:highlight w:val="none"/>
        </w:rPr>
        <w:t>服务监督考评</w:t>
      </w:r>
    </w:p>
    <w:p>
      <w:pPr>
        <w:spacing w:line="288" w:lineRule="auto"/>
        <w:ind w:firstLine="480"/>
        <w:rPr>
          <w:rFonts w:ascii="宋体" w:hAnsi="宋体" w:eastAsia="宋体"/>
          <w:color w:val="auto"/>
          <w:highlight w:val="none"/>
        </w:rPr>
      </w:pPr>
      <w:r>
        <w:rPr>
          <w:rFonts w:ascii="宋体" w:hAnsi="宋体" w:eastAsia="宋体"/>
          <w:color w:val="auto"/>
          <w:highlight w:val="none"/>
        </w:rPr>
        <w:t>采购人建立季度考核评分制度，对服务商进行合同执行期间的季度监督检查评估工作，并根据检查结果进行相应处理。</w:t>
      </w:r>
    </w:p>
    <w:p>
      <w:pPr>
        <w:spacing w:line="288" w:lineRule="auto"/>
        <w:ind w:firstLine="0"/>
        <w:rPr>
          <w:rFonts w:ascii="宋体" w:hAnsi="宋体" w:eastAsia="宋体"/>
          <w:color w:val="auto"/>
          <w:highlight w:val="none"/>
        </w:rPr>
      </w:pPr>
      <w:r>
        <w:rPr>
          <w:rFonts w:hint="eastAsia" w:ascii="宋体" w:hAnsi="宋体" w:eastAsia="宋体"/>
          <w:color w:val="auto"/>
          <w:highlight w:val="none"/>
          <w:lang w:val="en-US" w:eastAsia="zh-CN"/>
        </w:rPr>
        <w:t xml:space="preserve">    1、</w:t>
      </w:r>
      <w:r>
        <w:rPr>
          <w:rFonts w:ascii="宋体" w:hAnsi="宋体" w:eastAsia="宋体"/>
          <w:color w:val="auto"/>
          <w:highlight w:val="none"/>
        </w:rPr>
        <w:t>检查评估表</w:t>
      </w:r>
    </w:p>
    <w:tbl>
      <w:tblPr>
        <w:tblStyle w:val="14"/>
        <w:tblW w:w="0" w:type="auto"/>
        <w:tblInd w:w="67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26"/>
        <w:gridCol w:w="1856"/>
        <w:gridCol w:w="3968"/>
        <w:gridCol w:w="1701"/>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6" w:type="dxa"/>
            <w:tcBorders>
              <w:top w:val="single" w:color="000000" w:sz="4" w:space="0"/>
              <w:left w:val="single" w:color="000000" w:sz="4" w:space="0"/>
              <w:bottom w:val="single" w:color="000000" w:sz="4" w:space="0"/>
              <w:right w:val="single" w:color="000000" w:sz="4" w:space="0"/>
            </w:tcBorders>
          </w:tcPr>
          <w:p>
            <w:pPr>
              <w:spacing w:line="288" w:lineRule="auto"/>
              <w:jc w:val="center"/>
              <w:rPr>
                <w:rFonts w:ascii="宋体" w:hAnsi="宋体" w:eastAsia="宋体"/>
                <w:color w:val="auto"/>
                <w:highlight w:val="none"/>
              </w:rPr>
            </w:pPr>
            <w:r>
              <w:rPr>
                <w:rFonts w:ascii="宋体" w:hAnsi="宋体" w:eastAsia="宋体"/>
                <w:color w:val="auto"/>
                <w:highlight w:val="none"/>
              </w:rPr>
              <w:t>序号</w:t>
            </w:r>
          </w:p>
        </w:tc>
        <w:tc>
          <w:tcPr>
            <w:tcW w:w="1856" w:type="dxa"/>
            <w:tcBorders>
              <w:top w:val="single" w:color="000000" w:sz="4" w:space="0"/>
              <w:left w:val="nil"/>
              <w:bottom w:val="single" w:color="000000" w:sz="4" w:space="0"/>
              <w:right w:val="single" w:color="000000" w:sz="4" w:space="0"/>
            </w:tcBorders>
          </w:tcPr>
          <w:p>
            <w:pPr>
              <w:spacing w:line="288" w:lineRule="auto"/>
              <w:jc w:val="center"/>
              <w:rPr>
                <w:rFonts w:ascii="宋体" w:hAnsi="宋体" w:eastAsia="宋体"/>
                <w:color w:val="auto"/>
                <w:highlight w:val="none"/>
              </w:rPr>
            </w:pPr>
            <w:r>
              <w:rPr>
                <w:rFonts w:ascii="宋体" w:hAnsi="宋体" w:eastAsia="宋体"/>
                <w:color w:val="auto"/>
                <w:highlight w:val="none"/>
              </w:rPr>
              <w:t>项目</w:t>
            </w:r>
          </w:p>
        </w:tc>
        <w:tc>
          <w:tcPr>
            <w:tcW w:w="3968" w:type="dxa"/>
            <w:tcBorders>
              <w:top w:val="single" w:color="000000" w:sz="4" w:space="0"/>
              <w:left w:val="nil"/>
              <w:bottom w:val="single" w:color="000000" w:sz="4" w:space="0"/>
              <w:right w:val="single" w:color="000000" w:sz="4" w:space="0"/>
            </w:tcBorders>
          </w:tcPr>
          <w:p>
            <w:pPr>
              <w:spacing w:line="288" w:lineRule="auto"/>
              <w:jc w:val="center"/>
              <w:rPr>
                <w:rFonts w:ascii="宋体" w:hAnsi="宋体" w:eastAsia="宋体"/>
                <w:color w:val="auto"/>
                <w:highlight w:val="none"/>
              </w:rPr>
            </w:pPr>
            <w:r>
              <w:rPr>
                <w:rFonts w:ascii="宋体" w:hAnsi="宋体" w:eastAsia="宋体"/>
                <w:color w:val="auto"/>
                <w:highlight w:val="none"/>
              </w:rPr>
              <w:t>指标</w:t>
            </w:r>
          </w:p>
        </w:tc>
        <w:tc>
          <w:tcPr>
            <w:tcW w:w="1701" w:type="dxa"/>
            <w:tcBorders>
              <w:top w:val="single" w:color="000000" w:sz="4" w:space="0"/>
              <w:left w:val="nil"/>
              <w:bottom w:val="single" w:color="000000" w:sz="4" w:space="0"/>
              <w:right w:val="single" w:color="000000" w:sz="4" w:space="0"/>
            </w:tcBorders>
          </w:tcPr>
          <w:p>
            <w:pPr>
              <w:spacing w:line="288" w:lineRule="auto"/>
              <w:jc w:val="center"/>
              <w:rPr>
                <w:rFonts w:ascii="宋体" w:hAnsi="宋体" w:eastAsia="宋体"/>
                <w:color w:val="auto"/>
                <w:highlight w:val="none"/>
              </w:rPr>
            </w:pPr>
            <w:r>
              <w:rPr>
                <w:rFonts w:ascii="宋体" w:hAnsi="宋体" w:eastAsia="宋体"/>
                <w:color w:val="auto"/>
                <w:highlight w:val="none"/>
              </w:rPr>
              <w:t>考核标准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6" w:type="dxa"/>
            <w:tcBorders>
              <w:top w:val="nil"/>
              <w:left w:val="single" w:color="000000" w:sz="4" w:space="0"/>
              <w:bottom w:val="single" w:color="000000" w:sz="4" w:space="0"/>
              <w:right w:val="single" w:color="000000" w:sz="4" w:space="0"/>
            </w:tcBorders>
          </w:tcPr>
          <w:p>
            <w:pPr>
              <w:spacing w:line="288" w:lineRule="auto"/>
              <w:jc w:val="center"/>
              <w:rPr>
                <w:rFonts w:ascii="宋体" w:hAnsi="宋体" w:eastAsia="宋体"/>
                <w:color w:val="auto"/>
                <w:highlight w:val="none"/>
              </w:rPr>
            </w:pPr>
            <w:r>
              <w:rPr>
                <w:rFonts w:ascii="宋体" w:hAnsi="宋体" w:eastAsia="宋体"/>
                <w:color w:val="auto"/>
                <w:highlight w:val="none"/>
              </w:rPr>
              <w:t>1.</w:t>
            </w:r>
          </w:p>
        </w:tc>
        <w:tc>
          <w:tcPr>
            <w:tcW w:w="1856" w:type="dxa"/>
            <w:tcBorders>
              <w:top w:val="nil"/>
              <w:left w:val="nil"/>
              <w:bottom w:val="single" w:color="000000" w:sz="4" w:space="0"/>
              <w:right w:val="single" w:color="000000" w:sz="4" w:space="0"/>
            </w:tcBorders>
          </w:tcPr>
          <w:p>
            <w:pPr>
              <w:spacing w:line="288" w:lineRule="auto"/>
              <w:jc w:val="center"/>
              <w:rPr>
                <w:rFonts w:ascii="宋体" w:hAnsi="宋体" w:eastAsia="宋体"/>
                <w:color w:val="auto"/>
                <w:highlight w:val="none"/>
              </w:rPr>
            </w:pPr>
            <w:r>
              <w:rPr>
                <w:rFonts w:ascii="宋体" w:hAnsi="宋体" w:eastAsia="宋体"/>
                <w:color w:val="auto"/>
                <w:highlight w:val="none"/>
              </w:rPr>
              <w:t>维修响应</w:t>
            </w:r>
          </w:p>
        </w:tc>
        <w:tc>
          <w:tcPr>
            <w:tcW w:w="3968" w:type="dxa"/>
            <w:tcBorders>
              <w:top w:val="nil"/>
              <w:left w:val="nil"/>
              <w:bottom w:val="single" w:color="000000" w:sz="4" w:space="0"/>
              <w:right w:val="single" w:color="000000" w:sz="4" w:space="0"/>
            </w:tcBorders>
          </w:tcPr>
          <w:p>
            <w:pPr>
              <w:widowControl w:val="0"/>
              <w:numPr>
                <w:ilvl w:val="0"/>
                <w:numId w:val="5"/>
              </w:numPr>
              <w:spacing w:line="288" w:lineRule="auto"/>
              <w:rPr>
                <w:rFonts w:ascii="宋体" w:hAnsi="宋体" w:eastAsia="宋体"/>
                <w:color w:val="auto"/>
                <w:highlight w:val="none"/>
              </w:rPr>
            </w:pPr>
            <w:r>
              <w:rPr>
                <w:rFonts w:ascii="宋体" w:hAnsi="宋体" w:eastAsia="宋体"/>
                <w:color w:val="auto"/>
                <w:highlight w:val="none"/>
              </w:rPr>
              <w:t>接到维修通知马上响应，</w:t>
            </w:r>
            <w:r>
              <w:rPr>
                <w:rFonts w:hint="eastAsia" w:ascii="宋体" w:hAnsi="宋体" w:eastAsia="宋体"/>
                <w:color w:val="auto"/>
                <w:highlight w:val="none"/>
                <w:lang w:val="en-US" w:eastAsia="zh-CN"/>
              </w:rPr>
              <w:t>工作时段内</w:t>
            </w:r>
            <w:r>
              <w:rPr>
                <w:rFonts w:hint="eastAsia" w:ascii="宋体" w:hAnsi="宋体" w:eastAsia="宋体"/>
                <w:color w:val="auto"/>
                <w:highlight w:val="none"/>
              </w:rPr>
              <w:t>2</w:t>
            </w:r>
            <w:r>
              <w:rPr>
                <w:rFonts w:ascii="宋体" w:hAnsi="宋体" w:eastAsia="宋体"/>
                <w:color w:val="auto"/>
                <w:highlight w:val="none"/>
              </w:rPr>
              <w:t>0分钟内到现场；</w:t>
            </w:r>
            <w:r>
              <w:rPr>
                <w:rFonts w:hint="eastAsia" w:ascii="宋体" w:hAnsi="宋体" w:eastAsia="宋体"/>
                <w:color w:val="auto"/>
                <w:highlight w:val="none"/>
                <w:lang w:val="en-US" w:eastAsia="zh-CN"/>
              </w:rPr>
              <w:t>周末、法定节假日及其他紧急情况2小时内到场。</w:t>
            </w:r>
          </w:p>
          <w:p>
            <w:pPr>
              <w:widowControl w:val="0"/>
              <w:numPr>
                <w:ilvl w:val="0"/>
                <w:numId w:val="5"/>
              </w:numPr>
              <w:spacing w:line="288" w:lineRule="auto"/>
              <w:rPr>
                <w:rFonts w:ascii="宋体" w:hAnsi="宋体" w:eastAsia="宋体"/>
                <w:color w:val="auto"/>
                <w:highlight w:val="none"/>
              </w:rPr>
            </w:pPr>
            <w:r>
              <w:rPr>
                <w:rFonts w:ascii="宋体" w:hAnsi="宋体" w:eastAsia="宋体"/>
                <w:color w:val="auto"/>
                <w:highlight w:val="none"/>
              </w:rPr>
              <w:t>特殊情况如在其它科室抢修设备外，做好解释。</w:t>
            </w:r>
          </w:p>
        </w:tc>
        <w:tc>
          <w:tcPr>
            <w:tcW w:w="1701" w:type="dxa"/>
            <w:tcBorders>
              <w:top w:val="nil"/>
              <w:left w:val="nil"/>
              <w:bottom w:val="single" w:color="000000" w:sz="4" w:space="0"/>
              <w:right w:val="single" w:color="000000" w:sz="4" w:space="0"/>
            </w:tcBorders>
          </w:tcPr>
          <w:p>
            <w:pPr>
              <w:spacing w:line="288" w:lineRule="auto"/>
              <w:jc w:val="center"/>
              <w:rPr>
                <w:rFonts w:ascii="宋体" w:hAnsi="宋体" w:eastAsia="宋体"/>
                <w:color w:val="auto"/>
                <w:highlight w:val="none"/>
              </w:rPr>
            </w:pPr>
            <w:r>
              <w:rPr>
                <w:rFonts w:hint="eastAsia" w:ascii="宋体" w:hAnsi="宋体" w:eastAsia="宋体"/>
                <w:color w:val="auto"/>
                <w:highlight w:val="none"/>
                <w:lang w:val="en-US" w:eastAsia="zh-CN"/>
              </w:rPr>
              <w:t>未按时响应</w:t>
            </w:r>
            <w:r>
              <w:rPr>
                <w:rFonts w:ascii="宋体" w:hAnsi="宋体" w:eastAsia="宋体"/>
                <w:color w:val="auto"/>
                <w:highlight w:val="none"/>
              </w:rPr>
              <w:t>1次扣1分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6" w:type="dxa"/>
            <w:tcBorders>
              <w:top w:val="nil"/>
              <w:left w:val="single" w:color="000000" w:sz="4" w:space="0"/>
              <w:bottom w:val="single" w:color="000000" w:sz="4" w:space="0"/>
              <w:right w:val="single" w:color="000000" w:sz="4" w:space="0"/>
            </w:tcBorders>
          </w:tcPr>
          <w:p>
            <w:pPr>
              <w:spacing w:line="288" w:lineRule="auto"/>
              <w:jc w:val="center"/>
              <w:rPr>
                <w:rFonts w:ascii="宋体" w:hAnsi="宋体" w:eastAsia="宋体"/>
                <w:color w:val="auto"/>
                <w:highlight w:val="none"/>
              </w:rPr>
            </w:pPr>
            <w:r>
              <w:rPr>
                <w:rFonts w:ascii="宋体" w:hAnsi="宋体" w:eastAsia="宋体"/>
                <w:color w:val="auto"/>
                <w:highlight w:val="none"/>
              </w:rPr>
              <w:t>2</w:t>
            </w:r>
          </w:p>
        </w:tc>
        <w:tc>
          <w:tcPr>
            <w:tcW w:w="1856" w:type="dxa"/>
            <w:tcBorders>
              <w:top w:val="nil"/>
              <w:left w:val="nil"/>
              <w:bottom w:val="single" w:color="000000" w:sz="4" w:space="0"/>
              <w:right w:val="single" w:color="000000" w:sz="4" w:space="0"/>
            </w:tcBorders>
          </w:tcPr>
          <w:p>
            <w:pPr>
              <w:spacing w:line="288" w:lineRule="auto"/>
              <w:jc w:val="center"/>
              <w:rPr>
                <w:rFonts w:ascii="宋体" w:hAnsi="宋体" w:eastAsia="宋体"/>
                <w:color w:val="auto"/>
                <w:highlight w:val="none"/>
              </w:rPr>
            </w:pPr>
            <w:r>
              <w:rPr>
                <w:rFonts w:ascii="宋体" w:hAnsi="宋体" w:eastAsia="宋体"/>
                <w:color w:val="auto"/>
                <w:highlight w:val="none"/>
              </w:rPr>
              <w:t>设备保养率</w:t>
            </w:r>
          </w:p>
        </w:tc>
        <w:tc>
          <w:tcPr>
            <w:tcW w:w="3968" w:type="dxa"/>
            <w:tcBorders>
              <w:top w:val="nil"/>
              <w:left w:val="nil"/>
              <w:bottom w:val="single" w:color="000000" w:sz="4" w:space="0"/>
              <w:right w:val="single" w:color="000000" w:sz="4" w:space="0"/>
            </w:tcBorders>
          </w:tcPr>
          <w:p>
            <w:pPr>
              <w:spacing w:line="288" w:lineRule="auto"/>
              <w:jc w:val="center"/>
              <w:rPr>
                <w:rFonts w:ascii="宋体" w:hAnsi="宋体" w:eastAsia="宋体"/>
                <w:color w:val="auto"/>
                <w:highlight w:val="none"/>
              </w:rPr>
            </w:pPr>
            <w:r>
              <w:rPr>
                <w:rFonts w:ascii="宋体" w:hAnsi="宋体" w:eastAsia="宋体"/>
                <w:color w:val="auto"/>
                <w:highlight w:val="none"/>
              </w:rPr>
              <w:t>100%</w:t>
            </w:r>
          </w:p>
        </w:tc>
        <w:tc>
          <w:tcPr>
            <w:tcW w:w="1701" w:type="dxa"/>
            <w:tcBorders>
              <w:top w:val="nil"/>
              <w:left w:val="nil"/>
              <w:bottom w:val="single" w:color="000000" w:sz="4" w:space="0"/>
              <w:right w:val="single" w:color="000000" w:sz="4" w:space="0"/>
            </w:tcBorders>
          </w:tcPr>
          <w:p>
            <w:pPr>
              <w:spacing w:line="288" w:lineRule="auto"/>
              <w:rPr>
                <w:rFonts w:ascii="宋体" w:hAnsi="宋体" w:eastAsia="宋体"/>
                <w:color w:val="auto"/>
                <w:highlight w:val="none"/>
              </w:rPr>
            </w:pPr>
            <w:r>
              <w:rPr>
                <w:rFonts w:ascii="宋体" w:hAnsi="宋体" w:eastAsia="宋体"/>
                <w:color w:val="auto"/>
                <w:highlight w:val="none"/>
              </w:rPr>
              <w:t>一台设备没有保养扣一分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6" w:type="dxa"/>
            <w:tcBorders>
              <w:top w:val="nil"/>
              <w:left w:val="single" w:color="000000" w:sz="4" w:space="0"/>
              <w:bottom w:val="single" w:color="000000" w:sz="4" w:space="0"/>
              <w:right w:val="single" w:color="000000" w:sz="4" w:space="0"/>
            </w:tcBorders>
          </w:tcPr>
          <w:p>
            <w:pPr>
              <w:spacing w:line="288" w:lineRule="auto"/>
              <w:jc w:val="center"/>
              <w:rPr>
                <w:rFonts w:ascii="宋体" w:hAnsi="宋体" w:eastAsia="宋体"/>
                <w:color w:val="auto"/>
                <w:highlight w:val="none"/>
              </w:rPr>
            </w:pPr>
            <w:r>
              <w:rPr>
                <w:rFonts w:ascii="宋体" w:hAnsi="宋体" w:eastAsia="宋体"/>
                <w:color w:val="auto"/>
                <w:highlight w:val="none"/>
              </w:rPr>
              <w:t>3</w:t>
            </w:r>
          </w:p>
        </w:tc>
        <w:tc>
          <w:tcPr>
            <w:tcW w:w="1856" w:type="dxa"/>
            <w:tcBorders>
              <w:top w:val="nil"/>
              <w:left w:val="nil"/>
              <w:bottom w:val="single" w:color="000000" w:sz="4" w:space="0"/>
              <w:right w:val="single" w:color="000000" w:sz="4" w:space="0"/>
            </w:tcBorders>
          </w:tcPr>
          <w:p>
            <w:pPr>
              <w:spacing w:line="288" w:lineRule="auto"/>
              <w:jc w:val="center"/>
              <w:rPr>
                <w:rFonts w:ascii="宋体" w:hAnsi="宋体" w:eastAsia="宋体"/>
                <w:color w:val="auto"/>
                <w:highlight w:val="none"/>
              </w:rPr>
            </w:pPr>
            <w:r>
              <w:rPr>
                <w:rFonts w:hint="eastAsia" w:ascii="宋体" w:hAnsi="宋体" w:eastAsia="宋体"/>
                <w:color w:val="auto"/>
                <w:highlight w:val="none"/>
                <w:lang w:val="en-US" w:eastAsia="zh-CN"/>
              </w:rPr>
              <w:t>急救生命支持类</w:t>
            </w:r>
            <w:r>
              <w:rPr>
                <w:rFonts w:ascii="宋体" w:hAnsi="宋体" w:eastAsia="宋体"/>
                <w:color w:val="auto"/>
                <w:highlight w:val="none"/>
              </w:rPr>
              <w:t>设备完好率</w:t>
            </w:r>
          </w:p>
        </w:tc>
        <w:tc>
          <w:tcPr>
            <w:tcW w:w="3968" w:type="dxa"/>
            <w:tcBorders>
              <w:top w:val="nil"/>
              <w:left w:val="nil"/>
              <w:bottom w:val="single" w:color="000000" w:sz="4" w:space="0"/>
              <w:right w:val="single" w:color="000000" w:sz="4" w:space="0"/>
            </w:tcBorders>
          </w:tcPr>
          <w:p>
            <w:pPr>
              <w:spacing w:line="288" w:lineRule="auto"/>
              <w:jc w:val="center"/>
              <w:rPr>
                <w:rFonts w:ascii="宋体" w:hAnsi="宋体" w:eastAsia="宋体"/>
                <w:color w:val="auto"/>
                <w:highlight w:val="none"/>
              </w:rPr>
            </w:pPr>
            <w:r>
              <w:rPr>
                <w:rFonts w:ascii="宋体" w:hAnsi="宋体" w:eastAsia="宋体"/>
                <w:color w:val="auto"/>
                <w:highlight w:val="none"/>
              </w:rPr>
              <w:t>100%</w:t>
            </w:r>
          </w:p>
        </w:tc>
        <w:tc>
          <w:tcPr>
            <w:tcW w:w="1701" w:type="dxa"/>
            <w:tcBorders>
              <w:top w:val="nil"/>
              <w:left w:val="nil"/>
              <w:bottom w:val="single" w:color="000000" w:sz="4" w:space="0"/>
              <w:right w:val="single" w:color="000000" w:sz="4" w:space="0"/>
            </w:tcBorders>
          </w:tcPr>
          <w:p>
            <w:pPr>
              <w:spacing w:line="288" w:lineRule="auto"/>
              <w:rPr>
                <w:rFonts w:ascii="宋体" w:hAnsi="宋体" w:eastAsia="宋体"/>
                <w:color w:val="auto"/>
                <w:highlight w:val="none"/>
              </w:rPr>
            </w:pPr>
            <w:r>
              <w:rPr>
                <w:rFonts w:ascii="宋体" w:hAnsi="宋体" w:eastAsia="宋体"/>
                <w:color w:val="auto"/>
                <w:highlight w:val="none"/>
              </w:rPr>
              <w:t>一台设备扣一分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6" w:type="dxa"/>
            <w:tcBorders>
              <w:top w:val="nil"/>
              <w:left w:val="single" w:color="000000" w:sz="4" w:space="0"/>
              <w:bottom w:val="single" w:color="000000" w:sz="4" w:space="0"/>
              <w:right w:val="single" w:color="000000" w:sz="4" w:space="0"/>
            </w:tcBorders>
          </w:tcPr>
          <w:p>
            <w:pPr>
              <w:spacing w:line="288" w:lineRule="auto"/>
              <w:jc w:val="center"/>
              <w:rPr>
                <w:rFonts w:ascii="宋体" w:hAnsi="宋体" w:eastAsia="宋体"/>
                <w:color w:val="auto"/>
                <w:highlight w:val="none"/>
              </w:rPr>
            </w:pPr>
            <w:r>
              <w:rPr>
                <w:rFonts w:ascii="宋体" w:hAnsi="宋体" w:eastAsia="宋体"/>
                <w:color w:val="auto"/>
                <w:highlight w:val="none"/>
              </w:rPr>
              <w:t>4</w:t>
            </w:r>
          </w:p>
        </w:tc>
        <w:tc>
          <w:tcPr>
            <w:tcW w:w="1856" w:type="dxa"/>
            <w:tcBorders>
              <w:top w:val="nil"/>
              <w:left w:val="nil"/>
              <w:bottom w:val="single" w:color="000000" w:sz="4" w:space="0"/>
              <w:right w:val="single" w:color="000000" w:sz="4" w:space="0"/>
            </w:tcBorders>
          </w:tcPr>
          <w:p>
            <w:pPr>
              <w:spacing w:line="288" w:lineRule="auto"/>
              <w:jc w:val="center"/>
              <w:rPr>
                <w:rFonts w:ascii="宋体" w:hAnsi="宋体" w:eastAsia="宋体"/>
                <w:color w:val="auto"/>
                <w:highlight w:val="none"/>
              </w:rPr>
            </w:pPr>
            <w:r>
              <w:rPr>
                <w:rFonts w:ascii="宋体" w:hAnsi="宋体" w:eastAsia="宋体"/>
                <w:color w:val="auto"/>
                <w:highlight w:val="none"/>
              </w:rPr>
              <w:t>全院设备完好率</w:t>
            </w:r>
          </w:p>
        </w:tc>
        <w:tc>
          <w:tcPr>
            <w:tcW w:w="3968" w:type="dxa"/>
            <w:tcBorders>
              <w:top w:val="nil"/>
              <w:left w:val="nil"/>
              <w:bottom w:val="single" w:color="000000" w:sz="4" w:space="0"/>
              <w:right w:val="single" w:color="000000" w:sz="4" w:space="0"/>
            </w:tcBorders>
          </w:tcPr>
          <w:p>
            <w:pPr>
              <w:spacing w:line="288" w:lineRule="auto"/>
              <w:jc w:val="center"/>
              <w:rPr>
                <w:rFonts w:ascii="宋体" w:hAnsi="宋体" w:eastAsia="宋体"/>
                <w:color w:val="auto"/>
                <w:highlight w:val="none"/>
              </w:rPr>
            </w:pPr>
            <w:r>
              <w:rPr>
                <w:rFonts w:ascii="宋体" w:hAnsi="宋体" w:eastAsia="宋体"/>
                <w:color w:val="auto"/>
                <w:highlight w:val="none"/>
              </w:rPr>
              <w:t>95%以上</w:t>
            </w:r>
          </w:p>
        </w:tc>
        <w:tc>
          <w:tcPr>
            <w:tcW w:w="1701" w:type="dxa"/>
            <w:tcBorders>
              <w:top w:val="nil"/>
              <w:left w:val="nil"/>
              <w:bottom w:val="single" w:color="000000" w:sz="4" w:space="0"/>
              <w:right w:val="single" w:color="000000" w:sz="4" w:space="0"/>
            </w:tcBorders>
          </w:tcPr>
          <w:p>
            <w:pPr>
              <w:spacing w:line="288" w:lineRule="auto"/>
              <w:rPr>
                <w:rFonts w:ascii="宋体" w:hAnsi="宋体" w:eastAsia="宋体"/>
                <w:color w:val="auto"/>
                <w:highlight w:val="none"/>
              </w:rPr>
            </w:pPr>
            <w:r>
              <w:rPr>
                <w:rFonts w:ascii="宋体" w:hAnsi="宋体" w:eastAsia="宋体"/>
                <w:color w:val="auto"/>
                <w:highlight w:val="none"/>
              </w:rPr>
              <w:t>少一个百分点扣一分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6" w:type="dxa"/>
            <w:tcBorders>
              <w:top w:val="nil"/>
              <w:left w:val="single" w:color="000000" w:sz="4" w:space="0"/>
              <w:bottom w:val="single" w:color="000000" w:sz="4" w:space="0"/>
              <w:right w:val="single" w:color="000000" w:sz="4" w:space="0"/>
            </w:tcBorders>
          </w:tcPr>
          <w:p>
            <w:pPr>
              <w:spacing w:line="288" w:lineRule="auto"/>
              <w:jc w:val="center"/>
              <w:rPr>
                <w:rFonts w:ascii="宋体" w:hAnsi="宋体" w:eastAsia="宋体"/>
                <w:color w:val="auto"/>
                <w:highlight w:val="none"/>
              </w:rPr>
            </w:pPr>
            <w:r>
              <w:rPr>
                <w:rFonts w:ascii="宋体" w:hAnsi="宋体" w:eastAsia="宋体"/>
                <w:color w:val="auto"/>
                <w:highlight w:val="none"/>
              </w:rPr>
              <w:t>5</w:t>
            </w:r>
          </w:p>
        </w:tc>
        <w:tc>
          <w:tcPr>
            <w:tcW w:w="1856" w:type="dxa"/>
            <w:tcBorders>
              <w:top w:val="nil"/>
              <w:left w:val="nil"/>
              <w:bottom w:val="single" w:color="000000" w:sz="4" w:space="0"/>
              <w:right w:val="single" w:color="000000" w:sz="4" w:space="0"/>
            </w:tcBorders>
          </w:tcPr>
          <w:p>
            <w:pPr>
              <w:spacing w:line="288" w:lineRule="auto"/>
              <w:jc w:val="center"/>
              <w:rPr>
                <w:rFonts w:ascii="宋体" w:hAnsi="宋体" w:eastAsia="宋体"/>
                <w:color w:val="auto"/>
                <w:highlight w:val="none"/>
              </w:rPr>
            </w:pPr>
            <w:r>
              <w:rPr>
                <w:rFonts w:ascii="宋体" w:hAnsi="宋体" w:eastAsia="宋体"/>
                <w:color w:val="auto"/>
                <w:highlight w:val="none"/>
              </w:rPr>
              <w:t>维修服务满意率</w:t>
            </w:r>
          </w:p>
        </w:tc>
        <w:tc>
          <w:tcPr>
            <w:tcW w:w="3968" w:type="dxa"/>
            <w:tcBorders>
              <w:top w:val="nil"/>
              <w:left w:val="nil"/>
              <w:bottom w:val="single" w:color="000000" w:sz="4" w:space="0"/>
              <w:right w:val="single" w:color="000000" w:sz="4" w:space="0"/>
            </w:tcBorders>
          </w:tcPr>
          <w:p>
            <w:pPr>
              <w:spacing w:line="288" w:lineRule="auto"/>
              <w:jc w:val="center"/>
              <w:rPr>
                <w:rFonts w:ascii="宋体" w:hAnsi="宋体" w:eastAsia="宋体"/>
                <w:color w:val="auto"/>
                <w:highlight w:val="none"/>
              </w:rPr>
            </w:pPr>
            <w:r>
              <w:rPr>
                <w:rFonts w:ascii="宋体" w:hAnsi="宋体" w:eastAsia="宋体"/>
                <w:color w:val="auto"/>
                <w:highlight w:val="none"/>
              </w:rPr>
              <w:t>90%以上</w:t>
            </w:r>
          </w:p>
        </w:tc>
        <w:tc>
          <w:tcPr>
            <w:tcW w:w="1701" w:type="dxa"/>
            <w:tcBorders>
              <w:top w:val="nil"/>
              <w:left w:val="nil"/>
              <w:bottom w:val="single" w:color="000000" w:sz="4" w:space="0"/>
              <w:right w:val="single" w:color="000000" w:sz="4" w:space="0"/>
            </w:tcBorders>
          </w:tcPr>
          <w:p>
            <w:pPr>
              <w:spacing w:line="288" w:lineRule="auto"/>
              <w:rPr>
                <w:rFonts w:ascii="宋体" w:hAnsi="宋体" w:eastAsia="宋体"/>
                <w:color w:val="auto"/>
                <w:highlight w:val="none"/>
              </w:rPr>
            </w:pPr>
            <w:r>
              <w:rPr>
                <w:rFonts w:ascii="宋体" w:hAnsi="宋体" w:eastAsia="宋体"/>
                <w:color w:val="auto"/>
                <w:highlight w:val="none"/>
              </w:rPr>
              <w:t>少一个百分点扣一分</w:t>
            </w:r>
          </w:p>
        </w:tc>
      </w:tr>
    </w:tbl>
    <w:p>
      <w:pPr>
        <w:spacing w:line="288" w:lineRule="auto"/>
        <w:ind w:firstLine="480"/>
        <w:rPr>
          <w:rFonts w:ascii="宋体" w:hAnsi="宋体" w:eastAsia="宋体"/>
          <w:color w:val="auto"/>
          <w:highlight w:val="none"/>
        </w:rPr>
      </w:pPr>
    </w:p>
    <w:p>
      <w:pPr>
        <w:spacing w:line="288" w:lineRule="auto"/>
        <w:ind w:firstLine="480"/>
        <w:rPr>
          <w:rFonts w:ascii="宋体" w:hAnsi="宋体" w:eastAsia="宋体"/>
          <w:color w:val="auto"/>
          <w:highlight w:val="none"/>
        </w:rPr>
      </w:pPr>
      <w:r>
        <w:rPr>
          <w:rFonts w:hint="eastAsia" w:ascii="宋体" w:hAnsi="宋体" w:eastAsia="宋体"/>
          <w:color w:val="auto"/>
          <w:highlight w:val="none"/>
          <w:lang w:val="en-US" w:eastAsia="zh-CN"/>
        </w:rPr>
        <w:t>2、</w:t>
      </w:r>
      <w:r>
        <w:rPr>
          <w:rFonts w:ascii="宋体" w:hAnsi="宋体" w:eastAsia="宋体"/>
          <w:color w:val="auto"/>
          <w:highlight w:val="none"/>
        </w:rPr>
        <w:t>费用管理罚则：评分为85分以上支付全额维修服务费；评分为85分以下每减一分降一个百分点，每降一个百分点扣除服务费的百分之一。连续三个月评分不足60分，经整改仍未能达到采购人要求的，采购人有权终止合同。</w:t>
      </w:r>
    </w:p>
    <w:p>
      <w:pPr>
        <w:spacing w:line="288" w:lineRule="auto"/>
        <w:rPr>
          <w:rFonts w:ascii="宋体" w:hAnsi="宋体" w:eastAsia="宋体"/>
          <w:color w:val="auto"/>
          <w:highlight w:val="none"/>
        </w:rPr>
      </w:pPr>
    </w:p>
    <w:p>
      <w:pPr>
        <w:rPr>
          <w:rFonts w:ascii="宋体" w:hAnsi="宋体" w:eastAsia="宋体"/>
          <w:color w:val="auto"/>
          <w:highlight w:val="none"/>
        </w:rPr>
      </w:pPr>
      <w:r>
        <w:rPr>
          <w:rFonts w:hint="eastAsia" w:ascii="宋体" w:hAnsi="宋体" w:eastAsia="宋体"/>
          <w:color w:val="auto"/>
          <w:highlight w:val="none"/>
          <w:lang w:val="en-US" w:eastAsia="zh-CN"/>
        </w:rPr>
        <w:t xml:space="preserve">     </w:t>
      </w:r>
    </w:p>
    <w:p>
      <w:pPr>
        <w:rPr>
          <w:rFonts w:ascii="宋体" w:hAnsi="宋体" w:eastAsia="宋体"/>
          <w:color w:val="auto"/>
          <w:highlight w:val="none"/>
        </w:rPr>
      </w:pPr>
    </w:p>
    <w:p>
      <w:pPr>
        <w:rPr>
          <w:rFonts w:ascii="宋体" w:hAnsi="宋体" w:eastAsia="宋体"/>
          <w:color w:val="auto"/>
          <w:highlight w:val="none"/>
        </w:rPr>
      </w:pPr>
    </w:p>
    <w:p>
      <w:pPr>
        <w:rPr>
          <w:rFonts w:ascii="宋体" w:hAnsi="宋体" w:eastAsia="宋体"/>
          <w:color w:val="auto"/>
          <w:highlight w:val="none"/>
        </w:rPr>
      </w:pPr>
    </w:p>
    <w:p>
      <w:pPr>
        <w:rPr>
          <w:rFonts w:ascii="宋体" w:hAnsi="宋体" w:eastAsia="宋体"/>
          <w:color w:val="auto"/>
          <w:highlight w:val="none"/>
        </w:rPr>
      </w:pPr>
    </w:p>
    <w:p>
      <w:pPr>
        <w:rPr>
          <w:rFonts w:ascii="宋体" w:hAnsi="宋体" w:eastAsia="宋体"/>
          <w:color w:val="auto"/>
          <w:highlight w:val="none"/>
        </w:rPr>
      </w:pPr>
    </w:p>
    <w:p>
      <w:pPr>
        <w:rPr>
          <w:rFonts w:ascii="宋体" w:hAnsi="宋体" w:eastAsia="宋体"/>
          <w:color w:val="auto"/>
          <w:highlight w:val="none"/>
        </w:rPr>
      </w:pPr>
    </w:p>
    <w:p>
      <w:pPr>
        <w:rPr>
          <w:rFonts w:ascii="宋体" w:hAnsi="宋体" w:eastAsia="宋体"/>
          <w:color w:val="auto"/>
          <w:highlight w:val="none"/>
        </w:rPr>
      </w:pPr>
    </w:p>
    <w:p>
      <w:pPr>
        <w:rPr>
          <w:rFonts w:ascii="宋体" w:hAnsi="宋体" w:eastAsia="宋体"/>
          <w:color w:val="auto"/>
          <w:highlight w:val="none"/>
        </w:rPr>
      </w:pPr>
      <w:r>
        <w:rPr>
          <w:rFonts w:hint="eastAsia" w:ascii="宋体" w:hAnsi="宋体" w:eastAsia="宋体"/>
          <w:color w:val="auto"/>
          <w:highlight w:val="none"/>
        </w:rPr>
        <w:t xml:space="preserve">    </w:t>
      </w:r>
      <w:r>
        <w:rPr>
          <w:rFonts w:hint="eastAsia" w:ascii="宋体" w:hAnsi="宋体" w:eastAsia="宋体"/>
          <w:color w:val="auto"/>
          <w:highlight w:val="none"/>
          <w:lang w:val="en-US" w:eastAsia="zh-CN"/>
        </w:rPr>
        <w:t>1.</w:t>
      </w:r>
      <w:r>
        <w:rPr>
          <w:rFonts w:hint="eastAsia" w:ascii="宋体" w:hAnsi="宋体" w:eastAsia="宋体"/>
          <w:color w:val="auto"/>
          <w:highlight w:val="none"/>
        </w:rPr>
        <w:t>技术评分</w:t>
      </w:r>
      <w:r>
        <w:rPr>
          <w:rFonts w:hint="eastAsia" w:ascii="宋体" w:hAnsi="宋体" w:eastAsia="宋体"/>
          <w:color w:val="auto"/>
          <w:highlight w:val="none"/>
          <w:lang w:val="en-US" w:eastAsia="zh-CN"/>
        </w:rPr>
        <w:t>6</w:t>
      </w:r>
      <w:r>
        <w:rPr>
          <w:rFonts w:ascii="宋体" w:hAnsi="宋体" w:eastAsia="宋体"/>
          <w:color w:val="auto"/>
          <w:highlight w:val="none"/>
        </w:rPr>
        <w:t>0</w:t>
      </w:r>
      <w:r>
        <w:rPr>
          <w:rFonts w:hint="eastAsia" w:ascii="宋体" w:hAnsi="宋体" w:eastAsia="宋体"/>
          <w:color w:val="auto"/>
          <w:highlight w:val="none"/>
        </w:rPr>
        <w:t>分</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843"/>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pPr>
              <w:spacing w:line="480" w:lineRule="exact"/>
              <w:jc w:val="center"/>
              <w:rPr>
                <w:rFonts w:ascii="宋体" w:hAnsi="宋体" w:eastAsia="宋体" w:cs="宋体"/>
                <w:b/>
                <w:color w:val="auto"/>
                <w:highlight w:val="none"/>
              </w:rPr>
            </w:pPr>
            <w:r>
              <w:rPr>
                <w:rFonts w:hint="eastAsia" w:ascii="宋体" w:hAnsi="宋体" w:eastAsia="宋体" w:cs="宋体"/>
                <w:b/>
                <w:color w:val="auto"/>
                <w:highlight w:val="none"/>
              </w:rPr>
              <w:t>序号</w:t>
            </w:r>
          </w:p>
        </w:tc>
        <w:tc>
          <w:tcPr>
            <w:tcW w:w="1843" w:type="dxa"/>
          </w:tcPr>
          <w:p>
            <w:pPr>
              <w:spacing w:line="480" w:lineRule="exact"/>
              <w:jc w:val="center"/>
              <w:rPr>
                <w:rFonts w:ascii="宋体" w:hAnsi="宋体" w:eastAsia="宋体" w:cs="宋体"/>
                <w:b/>
                <w:color w:val="auto"/>
                <w:highlight w:val="none"/>
              </w:rPr>
            </w:pPr>
            <w:r>
              <w:rPr>
                <w:rFonts w:hint="eastAsia" w:ascii="宋体" w:hAnsi="宋体" w:eastAsia="宋体" w:cs="宋体"/>
                <w:b/>
                <w:color w:val="auto"/>
                <w:highlight w:val="none"/>
              </w:rPr>
              <w:t>评审因素</w:t>
            </w:r>
          </w:p>
        </w:tc>
        <w:tc>
          <w:tcPr>
            <w:tcW w:w="6124" w:type="dxa"/>
          </w:tcPr>
          <w:p>
            <w:pPr>
              <w:spacing w:line="480" w:lineRule="exact"/>
              <w:jc w:val="center"/>
              <w:rPr>
                <w:rFonts w:ascii="宋体" w:hAnsi="宋体" w:eastAsia="宋体" w:cs="宋体"/>
                <w:b/>
                <w:color w:val="auto"/>
                <w:highlight w:val="none"/>
              </w:rPr>
            </w:pPr>
            <w:r>
              <w:rPr>
                <w:rFonts w:hint="eastAsia" w:ascii="宋体" w:hAnsi="宋体" w:eastAsia="宋体" w:cs="宋体"/>
                <w:b/>
                <w:color w:val="auto"/>
                <w:highlight w:val="none"/>
              </w:rPr>
              <w:t>评审指标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spacing w:line="4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1843" w:type="dxa"/>
            <w:vAlign w:val="top"/>
          </w:tcPr>
          <w:p>
            <w:pPr>
              <w:pStyle w:val="71"/>
              <w:jc w:val="left"/>
              <w:rPr>
                <w:rFonts w:ascii="宋体" w:hAnsi="宋体" w:eastAsia="宋体" w:cs="黑体"/>
                <w:color w:val="auto"/>
                <w:sz w:val="23"/>
                <w:szCs w:val="23"/>
                <w:highlight w:val="none"/>
              </w:rPr>
            </w:pPr>
            <w:r>
              <w:rPr>
                <w:rFonts w:hint="eastAsia" w:ascii="宋体" w:hAnsi="宋体" w:eastAsia="宋体" w:cs="黑体"/>
                <w:color w:val="auto"/>
                <w:sz w:val="23"/>
                <w:szCs w:val="23"/>
                <w:highlight w:val="none"/>
              </w:rPr>
              <w:t>“▲号”技术</w:t>
            </w:r>
            <w:r>
              <w:rPr>
                <w:rFonts w:hint="eastAsia" w:ascii="宋体" w:hAnsi="宋体" w:eastAsia="宋体"/>
                <w:color w:val="auto"/>
                <w:sz w:val="23"/>
                <w:szCs w:val="23"/>
                <w:highlight w:val="none"/>
              </w:rPr>
              <w:t>要求</w:t>
            </w:r>
            <w:r>
              <w:rPr>
                <w:rFonts w:hint="eastAsia" w:ascii="宋体" w:hAnsi="宋体" w:eastAsia="宋体" w:cs="黑体"/>
                <w:color w:val="auto"/>
                <w:sz w:val="23"/>
                <w:szCs w:val="23"/>
                <w:highlight w:val="none"/>
              </w:rPr>
              <w:t>响应程度</w:t>
            </w:r>
            <w:r>
              <w:rPr>
                <w:rFonts w:ascii="宋体" w:hAnsi="宋体" w:eastAsia="宋体" w:cs="黑体"/>
                <w:color w:val="auto"/>
                <w:sz w:val="23"/>
                <w:szCs w:val="23"/>
                <w:highlight w:val="none"/>
              </w:rPr>
              <w:t xml:space="preserve"> (</w:t>
            </w:r>
            <w:r>
              <w:rPr>
                <w:rFonts w:hint="eastAsia" w:ascii="宋体" w:hAnsi="宋体" w:eastAsia="宋体" w:cs="黑体"/>
                <w:color w:val="auto"/>
                <w:sz w:val="23"/>
                <w:szCs w:val="23"/>
                <w:highlight w:val="none"/>
                <w:lang w:val="en-US" w:eastAsia="zh-CN"/>
              </w:rPr>
              <w:t>12</w:t>
            </w:r>
            <w:r>
              <w:rPr>
                <w:rFonts w:ascii="宋体" w:hAnsi="宋体" w:eastAsia="宋体" w:cs="黑体"/>
                <w:color w:val="auto"/>
                <w:sz w:val="23"/>
                <w:szCs w:val="23"/>
                <w:highlight w:val="none"/>
              </w:rPr>
              <w:t>.0分)</w:t>
            </w:r>
          </w:p>
        </w:tc>
        <w:tc>
          <w:tcPr>
            <w:tcW w:w="6124" w:type="dxa"/>
            <w:vAlign w:val="top"/>
          </w:tcPr>
          <w:p>
            <w:pPr>
              <w:pStyle w:val="71"/>
              <w:jc w:val="left"/>
              <w:rPr>
                <w:rFonts w:hint="eastAsia" w:ascii="宋体" w:hAnsi="宋体" w:eastAsia="宋体" w:cs="黑体"/>
                <w:color w:val="auto"/>
                <w:sz w:val="23"/>
                <w:szCs w:val="23"/>
                <w:highlight w:val="none"/>
              </w:rPr>
            </w:pPr>
            <w:r>
              <w:rPr>
                <w:rFonts w:ascii="宋体" w:hAnsi="宋体" w:eastAsia="宋体" w:cs="黑体"/>
                <w:color w:val="auto"/>
                <w:sz w:val="23"/>
                <w:szCs w:val="23"/>
                <w:highlight w:val="none"/>
              </w:rPr>
              <w:t>根据</w:t>
            </w:r>
            <w:r>
              <w:rPr>
                <w:rFonts w:hint="eastAsia" w:ascii="宋体" w:hAnsi="宋体" w:eastAsia="宋体" w:cs="黑体"/>
                <w:color w:val="auto"/>
                <w:sz w:val="23"/>
                <w:szCs w:val="23"/>
                <w:highlight w:val="none"/>
                <w:lang w:val="en-US" w:eastAsia="zh-CN"/>
              </w:rPr>
              <w:t>供应商</w:t>
            </w:r>
            <w:r>
              <w:rPr>
                <w:rFonts w:ascii="宋体" w:hAnsi="宋体" w:eastAsia="宋体" w:cs="黑体"/>
                <w:color w:val="auto"/>
                <w:sz w:val="23"/>
                <w:szCs w:val="23"/>
                <w:highlight w:val="none"/>
              </w:rPr>
              <w:t>对</w:t>
            </w:r>
            <w:r>
              <w:rPr>
                <w:rFonts w:hint="eastAsia" w:ascii="宋体" w:hAnsi="宋体" w:eastAsia="宋体" w:cs="黑体"/>
                <w:color w:val="auto"/>
                <w:sz w:val="23"/>
                <w:szCs w:val="23"/>
                <w:highlight w:val="none"/>
                <w:lang w:eastAsia="zh-CN"/>
              </w:rPr>
              <w:t>“</w:t>
            </w:r>
            <w:r>
              <w:rPr>
                <w:rFonts w:hint="eastAsia" w:ascii="宋体" w:hAnsi="宋体" w:eastAsia="宋体" w:cs="黑体"/>
                <w:color w:val="auto"/>
                <w:sz w:val="23"/>
                <w:szCs w:val="23"/>
                <w:highlight w:val="none"/>
              </w:rPr>
              <w:t>维修保养的具体要求</w:t>
            </w:r>
            <w:r>
              <w:rPr>
                <w:rFonts w:hint="eastAsia" w:ascii="宋体" w:hAnsi="宋体" w:eastAsia="宋体" w:cs="黑体"/>
                <w:color w:val="auto"/>
                <w:sz w:val="23"/>
                <w:szCs w:val="23"/>
                <w:highlight w:val="none"/>
                <w:lang w:eastAsia="zh-CN"/>
              </w:rPr>
              <w:t>”</w:t>
            </w:r>
            <w:r>
              <w:rPr>
                <w:rFonts w:hint="eastAsia" w:ascii="宋体" w:hAnsi="宋体" w:eastAsia="宋体" w:cs="黑体"/>
                <w:color w:val="auto"/>
                <w:sz w:val="23"/>
                <w:szCs w:val="23"/>
                <w:highlight w:val="none"/>
                <w:lang w:val="en-US" w:eastAsia="zh-CN"/>
              </w:rPr>
              <w:t>中</w:t>
            </w:r>
            <w:r>
              <w:rPr>
                <w:rFonts w:ascii="宋体" w:hAnsi="宋体" w:eastAsia="宋体" w:cs="黑体"/>
                <w:color w:val="auto"/>
                <w:sz w:val="23"/>
                <w:szCs w:val="23"/>
                <w:highlight w:val="none"/>
              </w:rPr>
              <w:t>带“▲号”（共</w:t>
            </w:r>
            <w:r>
              <w:rPr>
                <w:rFonts w:hint="eastAsia" w:ascii="宋体" w:hAnsi="宋体" w:eastAsia="宋体" w:cs="黑体"/>
                <w:color w:val="auto"/>
                <w:sz w:val="23"/>
                <w:szCs w:val="23"/>
                <w:highlight w:val="none"/>
                <w:lang w:val="en-US" w:eastAsia="zh-CN"/>
              </w:rPr>
              <w:t>3</w:t>
            </w:r>
            <w:r>
              <w:rPr>
                <w:rFonts w:ascii="宋体" w:hAnsi="宋体" w:eastAsia="宋体" w:cs="黑体"/>
                <w:color w:val="auto"/>
                <w:sz w:val="23"/>
                <w:szCs w:val="23"/>
                <w:highlight w:val="none"/>
              </w:rPr>
              <w:t>条）参数的响应程度进行评审：每满足一个“▲”号条款，得</w:t>
            </w:r>
            <w:r>
              <w:rPr>
                <w:rFonts w:hint="eastAsia" w:ascii="宋体" w:hAnsi="宋体" w:cs="黑体"/>
                <w:color w:val="auto"/>
                <w:sz w:val="23"/>
                <w:szCs w:val="23"/>
                <w:highlight w:val="none"/>
                <w:lang w:val="en-US" w:eastAsia="zh-CN"/>
              </w:rPr>
              <w:t>3</w:t>
            </w:r>
            <w:r>
              <w:rPr>
                <w:rFonts w:ascii="宋体" w:hAnsi="宋体" w:eastAsia="宋体" w:cs="黑体"/>
                <w:color w:val="auto"/>
                <w:sz w:val="23"/>
                <w:szCs w:val="23"/>
                <w:highlight w:val="none"/>
              </w:rPr>
              <w:t>分，本小项共</w:t>
            </w:r>
            <w:r>
              <w:rPr>
                <w:rFonts w:hint="eastAsia" w:ascii="宋体" w:hAnsi="宋体" w:eastAsia="宋体" w:cs="黑体"/>
                <w:color w:val="auto"/>
                <w:sz w:val="23"/>
                <w:szCs w:val="23"/>
                <w:highlight w:val="none"/>
                <w:lang w:val="en-US" w:eastAsia="zh-CN"/>
              </w:rPr>
              <w:t>12</w:t>
            </w:r>
            <w:r>
              <w:rPr>
                <w:rFonts w:ascii="宋体" w:hAnsi="宋体" w:eastAsia="宋体" w:cs="黑体"/>
                <w:color w:val="auto"/>
                <w:sz w:val="23"/>
                <w:szCs w:val="23"/>
                <w:highlight w:val="none"/>
              </w:rPr>
              <w:t>分。 【备注：如采购需求中有明确提供的证明资料，则以采购需求中要求的为准，无或未按要求提供证明材料的不得分；如采购需求中无明确证明材料的，以</w:t>
            </w:r>
            <w:r>
              <w:rPr>
                <w:rFonts w:hint="eastAsia" w:ascii="宋体" w:hAnsi="宋体" w:eastAsia="宋体" w:cs="黑体"/>
                <w:color w:val="auto"/>
                <w:sz w:val="23"/>
                <w:szCs w:val="23"/>
                <w:highlight w:val="none"/>
                <w:lang w:val="en-US" w:eastAsia="zh-CN"/>
              </w:rPr>
              <w:t>供应商响应</w:t>
            </w:r>
            <w:r>
              <w:rPr>
                <w:rFonts w:ascii="宋体" w:hAnsi="宋体" w:eastAsia="宋体" w:cs="黑体"/>
                <w:color w:val="auto"/>
                <w:sz w:val="23"/>
                <w:szCs w:val="23"/>
                <w:highlight w:val="none"/>
              </w:rPr>
              <w:t>文件中的《</w:t>
            </w:r>
            <w:r>
              <w:rPr>
                <w:rFonts w:hint="eastAsia" w:ascii="宋体" w:hAnsi="宋体" w:eastAsia="宋体" w:cs="黑体"/>
                <w:color w:val="auto"/>
                <w:sz w:val="23"/>
                <w:szCs w:val="23"/>
                <w:highlight w:val="none"/>
              </w:rPr>
              <w:t>技术和服务要求响应表</w:t>
            </w:r>
            <w:r>
              <w:rPr>
                <w:rFonts w:ascii="宋体" w:hAnsi="宋体" w:eastAsia="宋体" w:cs="黑体"/>
                <w:color w:val="auto"/>
                <w:sz w:val="23"/>
                <w:szCs w:val="23"/>
                <w:highlight w:val="none"/>
              </w:rPr>
              <w:t>》中的响应情况填写内容为准，未填写的或不响应的视为负偏离。】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spacing w:line="4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p>
        </w:tc>
        <w:tc>
          <w:tcPr>
            <w:tcW w:w="1843" w:type="dxa"/>
            <w:vAlign w:val="top"/>
          </w:tcPr>
          <w:p>
            <w:pPr>
              <w:pStyle w:val="71"/>
              <w:jc w:val="left"/>
              <w:rPr>
                <w:rFonts w:ascii="宋体" w:hAnsi="宋体" w:eastAsia="宋体" w:cs="黑体"/>
                <w:color w:val="auto"/>
                <w:sz w:val="23"/>
                <w:szCs w:val="23"/>
                <w:highlight w:val="none"/>
              </w:rPr>
            </w:pPr>
            <w:r>
              <w:rPr>
                <w:rFonts w:ascii="宋体" w:hAnsi="宋体" w:eastAsia="宋体" w:cs="黑体"/>
                <w:color w:val="auto"/>
                <w:sz w:val="23"/>
                <w:szCs w:val="23"/>
                <w:highlight w:val="none"/>
              </w:rPr>
              <w:t>一般技术参数响应程度 (</w:t>
            </w:r>
            <w:r>
              <w:rPr>
                <w:rFonts w:hint="eastAsia" w:ascii="宋体" w:hAnsi="宋体" w:eastAsia="宋体" w:cs="黑体"/>
                <w:color w:val="auto"/>
                <w:sz w:val="23"/>
                <w:szCs w:val="23"/>
                <w:highlight w:val="none"/>
                <w:lang w:val="en-US" w:eastAsia="zh-CN"/>
              </w:rPr>
              <w:t>8</w:t>
            </w:r>
            <w:r>
              <w:rPr>
                <w:rFonts w:ascii="宋体" w:hAnsi="宋体" w:eastAsia="宋体" w:cs="黑体"/>
                <w:color w:val="auto"/>
                <w:sz w:val="23"/>
                <w:szCs w:val="23"/>
                <w:highlight w:val="none"/>
              </w:rPr>
              <w:t>.0分)</w:t>
            </w:r>
          </w:p>
        </w:tc>
        <w:tc>
          <w:tcPr>
            <w:tcW w:w="6124" w:type="dxa"/>
            <w:vAlign w:val="top"/>
          </w:tcPr>
          <w:p>
            <w:pPr>
              <w:pStyle w:val="71"/>
              <w:jc w:val="left"/>
              <w:rPr>
                <w:rFonts w:hint="eastAsia" w:ascii="宋体" w:hAnsi="宋体" w:eastAsia="宋体" w:cs="黑体"/>
                <w:color w:val="auto"/>
                <w:sz w:val="23"/>
                <w:szCs w:val="23"/>
                <w:highlight w:val="none"/>
              </w:rPr>
            </w:pPr>
            <w:r>
              <w:rPr>
                <w:rFonts w:ascii="宋体" w:hAnsi="宋体" w:eastAsia="宋体" w:cs="黑体"/>
                <w:color w:val="auto"/>
                <w:sz w:val="23"/>
                <w:szCs w:val="23"/>
                <w:highlight w:val="none"/>
              </w:rPr>
              <w:t>根据</w:t>
            </w:r>
            <w:r>
              <w:rPr>
                <w:rFonts w:hint="eastAsia" w:ascii="宋体" w:hAnsi="宋体" w:eastAsia="宋体" w:cs="黑体"/>
                <w:color w:val="auto"/>
                <w:sz w:val="23"/>
                <w:szCs w:val="23"/>
                <w:highlight w:val="none"/>
                <w:lang w:val="en-US" w:eastAsia="zh-CN"/>
              </w:rPr>
              <w:t>供应商</w:t>
            </w:r>
            <w:r>
              <w:rPr>
                <w:rFonts w:ascii="宋体" w:hAnsi="宋体" w:eastAsia="宋体" w:cs="黑体"/>
                <w:color w:val="auto"/>
                <w:sz w:val="23"/>
                <w:szCs w:val="23"/>
                <w:highlight w:val="none"/>
              </w:rPr>
              <w:t>对</w:t>
            </w:r>
            <w:r>
              <w:rPr>
                <w:rFonts w:hint="eastAsia" w:ascii="宋体" w:hAnsi="宋体" w:eastAsia="宋体" w:cs="黑体"/>
                <w:color w:val="auto"/>
                <w:sz w:val="23"/>
                <w:szCs w:val="23"/>
                <w:highlight w:val="none"/>
                <w:lang w:eastAsia="zh-CN"/>
              </w:rPr>
              <w:t>“</w:t>
            </w:r>
            <w:r>
              <w:rPr>
                <w:rFonts w:hint="eastAsia" w:ascii="宋体" w:hAnsi="宋体" w:eastAsia="宋体" w:cs="黑体"/>
                <w:color w:val="auto"/>
                <w:sz w:val="23"/>
                <w:szCs w:val="23"/>
                <w:highlight w:val="none"/>
              </w:rPr>
              <w:t>维修保养的具体要求</w:t>
            </w:r>
            <w:r>
              <w:rPr>
                <w:rFonts w:hint="eastAsia" w:ascii="宋体" w:hAnsi="宋体" w:eastAsia="宋体" w:cs="黑体"/>
                <w:color w:val="auto"/>
                <w:sz w:val="23"/>
                <w:szCs w:val="23"/>
                <w:highlight w:val="none"/>
                <w:lang w:eastAsia="zh-CN"/>
              </w:rPr>
              <w:t>”</w:t>
            </w:r>
            <w:r>
              <w:rPr>
                <w:rFonts w:hint="eastAsia" w:ascii="宋体" w:hAnsi="宋体" w:eastAsia="宋体" w:cs="黑体"/>
                <w:color w:val="auto"/>
                <w:sz w:val="23"/>
                <w:szCs w:val="23"/>
                <w:highlight w:val="none"/>
                <w:lang w:val="en-US" w:eastAsia="zh-CN"/>
              </w:rPr>
              <w:t>中</w:t>
            </w:r>
            <w:r>
              <w:rPr>
                <w:rFonts w:hint="eastAsia" w:ascii="宋体" w:hAnsi="宋体" w:eastAsia="宋体" w:cs="黑体"/>
                <w:color w:val="auto"/>
                <w:sz w:val="23"/>
                <w:szCs w:val="23"/>
                <w:highlight w:val="none"/>
              </w:rPr>
              <w:t>一般参数（除“★号”、“▲号”外）的响应程度进行评审：全满足得</w:t>
            </w:r>
            <w:r>
              <w:rPr>
                <w:rFonts w:hint="eastAsia" w:ascii="宋体" w:hAnsi="宋体" w:eastAsia="宋体" w:cs="黑体"/>
                <w:color w:val="auto"/>
                <w:sz w:val="23"/>
                <w:szCs w:val="23"/>
                <w:highlight w:val="none"/>
                <w:lang w:val="en-US" w:eastAsia="zh-CN"/>
              </w:rPr>
              <w:t>8</w:t>
            </w:r>
            <w:r>
              <w:rPr>
                <w:rFonts w:hint="eastAsia" w:ascii="宋体" w:hAnsi="宋体" w:eastAsia="宋体" w:cs="黑体"/>
                <w:color w:val="auto"/>
                <w:sz w:val="23"/>
                <w:szCs w:val="23"/>
                <w:highlight w:val="none"/>
              </w:rPr>
              <w:t>分；负偏离总数≤</w:t>
            </w:r>
            <w:r>
              <w:rPr>
                <w:rFonts w:hint="eastAsia" w:ascii="宋体" w:hAnsi="宋体" w:eastAsia="宋体" w:cs="黑体"/>
                <w:color w:val="auto"/>
                <w:sz w:val="23"/>
                <w:szCs w:val="23"/>
                <w:highlight w:val="none"/>
                <w:lang w:val="en-US" w:eastAsia="zh-CN"/>
              </w:rPr>
              <w:t>8</w:t>
            </w:r>
            <w:r>
              <w:rPr>
                <w:rFonts w:hint="eastAsia" w:ascii="宋体" w:hAnsi="宋体" w:eastAsia="宋体" w:cs="黑体"/>
                <w:color w:val="auto"/>
                <w:sz w:val="23"/>
                <w:szCs w:val="23"/>
                <w:highlight w:val="none"/>
              </w:rPr>
              <w:t>项的，每出现一项负偏离，扣1分；负偏离总数＞</w:t>
            </w:r>
            <w:r>
              <w:rPr>
                <w:rFonts w:hint="eastAsia" w:ascii="宋体" w:hAnsi="宋体" w:eastAsia="宋体" w:cs="黑体"/>
                <w:color w:val="auto"/>
                <w:sz w:val="23"/>
                <w:szCs w:val="23"/>
                <w:highlight w:val="none"/>
                <w:lang w:val="en-US" w:eastAsia="zh-CN"/>
              </w:rPr>
              <w:t>8</w:t>
            </w:r>
            <w:r>
              <w:rPr>
                <w:rFonts w:hint="eastAsia" w:ascii="宋体" w:hAnsi="宋体" w:eastAsia="宋体" w:cs="黑体"/>
                <w:color w:val="auto"/>
                <w:sz w:val="23"/>
                <w:szCs w:val="23"/>
                <w:highlight w:val="none"/>
              </w:rPr>
              <w:t>项的，得0分。 【备注：如采购需求中有明确提供的证明资料，则以采购需求中要求的为准，无或未按要求提供证明材料的不得分；</w:t>
            </w:r>
            <w:r>
              <w:rPr>
                <w:rFonts w:ascii="宋体" w:hAnsi="宋体" w:eastAsia="宋体" w:cs="黑体"/>
                <w:color w:val="auto"/>
                <w:sz w:val="23"/>
                <w:szCs w:val="23"/>
                <w:highlight w:val="none"/>
              </w:rPr>
              <w:t>如采购需求中无明确证明材料的，以</w:t>
            </w:r>
            <w:r>
              <w:rPr>
                <w:rFonts w:hint="eastAsia" w:ascii="宋体" w:hAnsi="宋体" w:eastAsia="宋体" w:cs="黑体"/>
                <w:color w:val="auto"/>
                <w:sz w:val="23"/>
                <w:szCs w:val="23"/>
                <w:highlight w:val="none"/>
                <w:lang w:val="en-US" w:eastAsia="zh-CN"/>
              </w:rPr>
              <w:t>供应商响应</w:t>
            </w:r>
            <w:r>
              <w:rPr>
                <w:rFonts w:ascii="宋体" w:hAnsi="宋体" w:eastAsia="宋体" w:cs="黑体"/>
                <w:color w:val="auto"/>
                <w:sz w:val="23"/>
                <w:szCs w:val="23"/>
                <w:highlight w:val="none"/>
              </w:rPr>
              <w:t>文件中的《</w:t>
            </w:r>
            <w:r>
              <w:rPr>
                <w:rFonts w:hint="eastAsia" w:ascii="宋体" w:hAnsi="宋体" w:eastAsia="宋体" w:cs="黑体"/>
                <w:color w:val="auto"/>
                <w:sz w:val="23"/>
                <w:szCs w:val="23"/>
                <w:highlight w:val="none"/>
              </w:rPr>
              <w:t>技术和服务要求响应表</w:t>
            </w:r>
            <w:r>
              <w:rPr>
                <w:rFonts w:ascii="宋体" w:hAnsi="宋体" w:eastAsia="宋体" w:cs="黑体"/>
                <w:color w:val="auto"/>
                <w:sz w:val="23"/>
                <w:szCs w:val="23"/>
                <w:highlight w:val="none"/>
              </w:rPr>
              <w:t>》中的响应情况填写内容为准，未填写的或不响应的视为负偏离。</w:t>
            </w:r>
            <w:r>
              <w:rPr>
                <w:rFonts w:hint="eastAsia" w:ascii="宋体" w:hAnsi="宋体" w:eastAsia="宋体" w:cs="黑体"/>
                <w:color w:val="auto"/>
                <w:sz w:val="23"/>
                <w:szCs w:val="23"/>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4" w:hRule="atLeast"/>
          <w:jc w:val="center"/>
        </w:trPr>
        <w:tc>
          <w:tcPr>
            <w:tcW w:w="817" w:type="dxa"/>
            <w:vAlign w:val="center"/>
          </w:tcPr>
          <w:p>
            <w:pPr>
              <w:spacing w:line="480" w:lineRule="exact"/>
              <w:jc w:val="center"/>
              <w:rPr>
                <w:rFonts w:ascii="宋体" w:hAnsi="宋体" w:eastAsia="宋体" w:cs="宋体"/>
                <w:color w:val="auto"/>
                <w:highlight w:val="none"/>
              </w:rPr>
            </w:pPr>
            <w:r>
              <w:rPr>
                <w:rFonts w:hint="eastAsia" w:ascii="宋体" w:hAnsi="宋体" w:eastAsia="宋体" w:cs="宋体"/>
                <w:color w:val="auto"/>
                <w:highlight w:val="none"/>
                <w:lang w:val="en-US" w:eastAsia="zh-CN"/>
              </w:rPr>
              <w:t>3</w:t>
            </w:r>
          </w:p>
        </w:tc>
        <w:tc>
          <w:tcPr>
            <w:tcW w:w="1843" w:type="dxa"/>
            <w:vAlign w:val="center"/>
          </w:tcPr>
          <w:p>
            <w:pPr>
              <w:pStyle w:val="53"/>
              <w:jc w:val="center"/>
              <w:rPr>
                <w:rFonts w:ascii="宋体" w:hAnsi="宋体" w:eastAsia="宋体"/>
                <w:color w:val="auto"/>
                <w:sz w:val="23"/>
                <w:szCs w:val="23"/>
                <w:highlight w:val="none"/>
              </w:rPr>
            </w:pPr>
            <w:r>
              <w:rPr>
                <w:rFonts w:hint="eastAsia" w:ascii="宋体" w:hAnsi="宋体" w:eastAsia="宋体"/>
                <w:color w:val="auto"/>
                <w:sz w:val="23"/>
                <w:szCs w:val="23"/>
                <w:highlight w:val="none"/>
              </w:rPr>
              <w:t>服务管理实施方案（</w:t>
            </w:r>
            <w:r>
              <w:rPr>
                <w:rFonts w:hint="eastAsia" w:ascii="宋体" w:hAnsi="宋体" w:eastAsia="宋体"/>
                <w:color w:val="auto"/>
                <w:sz w:val="23"/>
                <w:szCs w:val="23"/>
                <w:highlight w:val="none"/>
                <w:lang w:val="en-US" w:eastAsia="zh-CN"/>
              </w:rPr>
              <w:t>15</w:t>
            </w:r>
            <w:r>
              <w:rPr>
                <w:rFonts w:hint="eastAsia" w:ascii="宋体" w:hAnsi="宋体" w:eastAsia="宋体"/>
                <w:color w:val="auto"/>
                <w:sz w:val="23"/>
                <w:szCs w:val="23"/>
                <w:highlight w:val="none"/>
              </w:rPr>
              <w:t>分）</w:t>
            </w:r>
          </w:p>
          <w:p>
            <w:pPr>
              <w:spacing w:line="480" w:lineRule="exact"/>
              <w:jc w:val="center"/>
              <w:rPr>
                <w:rFonts w:ascii="宋体" w:hAnsi="宋体" w:eastAsia="宋体" w:cs="宋体"/>
                <w:color w:val="auto"/>
                <w:highlight w:val="none"/>
              </w:rPr>
            </w:pPr>
          </w:p>
        </w:tc>
        <w:tc>
          <w:tcPr>
            <w:tcW w:w="6124" w:type="dxa"/>
          </w:tcPr>
          <w:p>
            <w:pPr>
              <w:spacing w:line="24" w:lineRule="atLeast"/>
              <w:jc w:val="both"/>
              <w:rPr>
                <w:rFonts w:ascii="宋体" w:hAnsi="宋体" w:eastAsia="宋体"/>
                <w:color w:val="auto"/>
                <w:sz w:val="23"/>
                <w:szCs w:val="23"/>
                <w:highlight w:val="none"/>
              </w:rPr>
            </w:pPr>
            <w:r>
              <w:rPr>
                <w:rFonts w:hint="eastAsia" w:ascii="宋体" w:hAnsi="宋体" w:eastAsia="宋体"/>
                <w:color w:val="auto"/>
                <w:sz w:val="23"/>
                <w:szCs w:val="23"/>
                <w:highlight w:val="none"/>
              </w:rPr>
              <w:t>根据响应</w:t>
            </w:r>
            <w:r>
              <w:rPr>
                <w:rFonts w:hint="eastAsia" w:ascii="宋体" w:hAnsi="宋体" w:eastAsia="宋体"/>
                <w:color w:val="auto"/>
                <w:sz w:val="23"/>
                <w:szCs w:val="23"/>
                <w:highlight w:val="none"/>
                <w:lang w:val="en-US" w:eastAsia="zh-CN"/>
              </w:rPr>
              <w:t>供应商</w:t>
            </w:r>
            <w:r>
              <w:rPr>
                <w:rFonts w:hint="eastAsia" w:ascii="宋体" w:hAnsi="宋体" w:eastAsia="宋体"/>
                <w:color w:val="auto"/>
                <w:sz w:val="23"/>
                <w:szCs w:val="23"/>
                <w:highlight w:val="none"/>
              </w:rPr>
              <w:t>所提供的服务管理实施方案，包括对本项目维保设备维护保养技术组织计划措施及工作安排等进行综合评审。</w:t>
            </w:r>
            <w:r>
              <w:rPr>
                <w:rFonts w:ascii="宋体" w:hAnsi="宋体" w:eastAsia="宋体"/>
                <w:color w:val="auto"/>
                <w:sz w:val="23"/>
                <w:szCs w:val="23"/>
                <w:highlight w:val="none"/>
              </w:rPr>
              <w:t xml:space="preserve"> </w:t>
            </w:r>
          </w:p>
          <w:p>
            <w:pPr>
              <w:spacing w:line="24" w:lineRule="atLeast"/>
              <w:jc w:val="both"/>
              <w:rPr>
                <w:rFonts w:ascii="宋体" w:hAnsi="宋体" w:eastAsia="宋体"/>
                <w:color w:val="auto"/>
                <w:sz w:val="23"/>
                <w:szCs w:val="23"/>
                <w:highlight w:val="none"/>
              </w:rPr>
            </w:pPr>
            <w:r>
              <w:rPr>
                <w:rFonts w:hint="eastAsia" w:ascii="宋体" w:hAnsi="宋体" w:eastAsia="宋体"/>
                <w:color w:val="auto"/>
                <w:sz w:val="23"/>
                <w:szCs w:val="23"/>
                <w:highlight w:val="none"/>
              </w:rPr>
              <w:t>实施方案合理、可行、完整，完全适用项目需求的，得</w:t>
            </w:r>
            <w:r>
              <w:rPr>
                <w:rFonts w:hint="eastAsia" w:ascii="宋体" w:hAnsi="宋体" w:eastAsia="宋体"/>
                <w:color w:val="auto"/>
                <w:sz w:val="23"/>
                <w:szCs w:val="23"/>
                <w:highlight w:val="none"/>
                <w:lang w:val="en-US" w:eastAsia="zh-CN"/>
              </w:rPr>
              <w:t>15</w:t>
            </w:r>
            <w:r>
              <w:rPr>
                <w:rFonts w:hint="eastAsia" w:ascii="宋体" w:hAnsi="宋体" w:eastAsia="宋体"/>
                <w:color w:val="auto"/>
                <w:sz w:val="23"/>
                <w:szCs w:val="23"/>
                <w:highlight w:val="none"/>
              </w:rPr>
              <w:t>分；</w:t>
            </w:r>
            <w:r>
              <w:rPr>
                <w:rFonts w:ascii="宋体" w:hAnsi="宋体" w:eastAsia="宋体"/>
                <w:color w:val="auto"/>
                <w:sz w:val="23"/>
                <w:szCs w:val="23"/>
                <w:highlight w:val="none"/>
              </w:rPr>
              <w:t xml:space="preserve"> </w:t>
            </w:r>
          </w:p>
          <w:p>
            <w:pPr>
              <w:spacing w:line="24" w:lineRule="atLeast"/>
              <w:jc w:val="both"/>
              <w:rPr>
                <w:rFonts w:ascii="宋体" w:hAnsi="宋体" w:eastAsia="宋体"/>
                <w:color w:val="auto"/>
                <w:sz w:val="23"/>
                <w:szCs w:val="23"/>
                <w:highlight w:val="none"/>
              </w:rPr>
            </w:pPr>
            <w:r>
              <w:rPr>
                <w:rFonts w:hint="eastAsia" w:ascii="宋体" w:hAnsi="宋体" w:eastAsia="宋体"/>
                <w:color w:val="auto"/>
                <w:sz w:val="23"/>
                <w:szCs w:val="23"/>
                <w:highlight w:val="none"/>
              </w:rPr>
              <w:t>实施方案较合理、较可行、较完整，基本适用项目需求的，得</w:t>
            </w:r>
            <w:r>
              <w:rPr>
                <w:rFonts w:hint="eastAsia" w:ascii="宋体" w:hAnsi="宋体" w:eastAsia="宋体"/>
                <w:color w:val="auto"/>
                <w:sz w:val="23"/>
                <w:szCs w:val="23"/>
                <w:highlight w:val="none"/>
                <w:lang w:val="en-US" w:eastAsia="zh-CN"/>
              </w:rPr>
              <w:t>10</w:t>
            </w:r>
            <w:r>
              <w:rPr>
                <w:rFonts w:hint="eastAsia" w:ascii="宋体" w:hAnsi="宋体" w:eastAsia="宋体"/>
                <w:color w:val="auto"/>
                <w:sz w:val="23"/>
                <w:szCs w:val="23"/>
                <w:highlight w:val="none"/>
              </w:rPr>
              <w:t>分；</w:t>
            </w:r>
            <w:r>
              <w:rPr>
                <w:rFonts w:ascii="宋体" w:hAnsi="宋体" w:eastAsia="宋体"/>
                <w:color w:val="auto"/>
                <w:sz w:val="23"/>
                <w:szCs w:val="23"/>
                <w:highlight w:val="none"/>
              </w:rPr>
              <w:t xml:space="preserve"> </w:t>
            </w:r>
          </w:p>
          <w:p>
            <w:pPr>
              <w:spacing w:line="24" w:lineRule="atLeast"/>
              <w:jc w:val="both"/>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实施方案不够合理、不够可行、不够完整，不能完全适用项目需求的，得</w:t>
            </w:r>
            <w:r>
              <w:rPr>
                <w:rFonts w:hint="eastAsia" w:ascii="宋体" w:hAnsi="宋体" w:eastAsia="宋体" w:cs="宋体"/>
                <w:color w:val="auto"/>
                <w:kern w:val="0"/>
                <w:sz w:val="22"/>
                <w:szCs w:val="22"/>
                <w:highlight w:val="none"/>
                <w:lang w:val="en-US" w:eastAsia="zh-CN" w:bidi="ar"/>
              </w:rPr>
              <w:t>5</w:t>
            </w:r>
            <w:r>
              <w:rPr>
                <w:rFonts w:hint="eastAsia" w:ascii="宋体" w:hAnsi="宋体" w:eastAsia="宋体" w:cs="宋体"/>
                <w:color w:val="auto"/>
                <w:kern w:val="0"/>
                <w:sz w:val="22"/>
                <w:szCs w:val="22"/>
                <w:highlight w:val="none"/>
                <w:lang w:bidi="ar"/>
              </w:rPr>
              <w:t xml:space="preserve">分； </w:t>
            </w:r>
          </w:p>
          <w:p>
            <w:pPr>
              <w:spacing w:line="24" w:lineRule="atLeast"/>
              <w:rPr>
                <w:rFonts w:ascii="宋体" w:hAnsi="宋体" w:eastAsia="宋体" w:cs="宋体"/>
                <w:color w:val="auto"/>
                <w:highlight w:val="none"/>
              </w:rPr>
            </w:pPr>
            <w:r>
              <w:rPr>
                <w:rFonts w:hint="eastAsia" w:ascii="宋体" w:hAnsi="宋体" w:eastAsia="宋体" w:cs="宋体"/>
                <w:color w:val="auto"/>
                <w:kern w:val="0"/>
                <w:sz w:val="22"/>
                <w:szCs w:val="22"/>
                <w:highlight w:val="none"/>
                <w:lang w:bidi="ar"/>
              </w:rPr>
              <w:t>实施方案简单，内容没有针对性的，</w:t>
            </w:r>
            <w:r>
              <w:rPr>
                <w:rFonts w:hint="eastAsia" w:ascii="宋体" w:hAnsi="宋体" w:eastAsia="宋体" w:cs="宋体"/>
                <w:color w:val="auto"/>
                <w:kern w:val="0"/>
                <w:sz w:val="22"/>
                <w:szCs w:val="22"/>
                <w:highlight w:val="none"/>
                <w:lang w:val="en-US" w:eastAsia="zh-CN" w:bidi="ar"/>
              </w:rPr>
              <w:t>未提供实施方案的不得分</w:t>
            </w:r>
            <w:r>
              <w:rPr>
                <w:rFonts w:hint="eastAsia" w:ascii="宋体" w:hAnsi="宋体" w:eastAsia="宋体" w:cs="宋体"/>
                <w:color w:val="auto"/>
                <w:kern w:val="0"/>
                <w:sz w:val="22"/>
                <w:szCs w:val="22"/>
                <w:highlight w:val="none"/>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817" w:type="dxa"/>
            <w:vAlign w:val="center"/>
          </w:tcPr>
          <w:p>
            <w:pPr>
              <w:spacing w:line="480" w:lineRule="exact"/>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p>
        </w:tc>
        <w:tc>
          <w:tcPr>
            <w:tcW w:w="1843" w:type="dxa"/>
            <w:vAlign w:val="center"/>
          </w:tcPr>
          <w:p>
            <w:pPr>
              <w:spacing w:line="480" w:lineRule="exact"/>
              <w:jc w:val="center"/>
              <w:rPr>
                <w:rFonts w:hint="default" w:ascii="宋体" w:hAnsi="宋体" w:eastAsia="宋体" w:cs="宋体"/>
                <w:color w:val="auto"/>
                <w:highlight w:val="none"/>
                <w:lang w:val="en-US" w:eastAsia="zh-CN"/>
              </w:rPr>
            </w:pPr>
            <w:r>
              <w:rPr>
                <w:rFonts w:hint="eastAsia" w:ascii="宋体" w:hAnsi="宋体" w:eastAsia="宋体" w:cs="Times New Roman"/>
                <w:color w:val="auto"/>
                <w:sz w:val="23"/>
                <w:szCs w:val="23"/>
                <w:highlight w:val="none"/>
                <w:lang w:val="en-US" w:eastAsia="zh-CN"/>
              </w:rPr>
              <w:t>应急方案(5)</w:t>
            </w:r>
          </w:p>
        </w:tc>
        <w:tc>
          <w:tcPr>
            <w:tcW w:w="6124" w:type="dxa"/>
          </w:tcPr>
          <w:p>
            <w:pPr>
              <w:numPr>
                <w:ilvl w:val="0"/>
                <w:numId w:val="0"/>
              </w:numPr>
              <w:spacing w:line="24" w:lineRule="atLeast"/>
              <w:rPr>
                <w:rFonts w:hint="eastAsia" w:ascii="宋体" w:hAnsi="宋体" w:eastAsia="宋体"/>
                <w:color w:val="auto"/>
                <w:sz w:val="23"/>
                <w:szCs w:val="23"/>
                <w:highlight w:val="none"/>
                <w:lang w:eastAsia="zh-CN"/>
              </w:rPr>
            </w:pPr>
            <w:r>
              <w:rPr>
                <w:rFonts w:hint="eastAsia" w:ascii="宋体" w:hAnsi="宋体" w:eastAsia="宋体"/>
                <w:color w:val="auto"/>
                <w:sz w:val="23"/>
                <w:szCs w:val="23"/>
                <w:highlight w:val="none"/>
              </w:rPr>
              <w:t>根据响应</w:t>
            </w:r>
            <w:r>
              <w:rPr>
                <w:rFonts w:hint="eastAsia" w:ascii="宋体" w:hAnsi="宋体" w:eastAsia="宋体"/>
                <w:color w:val="auto"/>
                <w:sz w:val="23"/>
                <w:szCs w:val="23"/>
                <w:highlight w:val="none"/>
                <w:lang w:val="en-US" w:eastAsia="zh-CN"/>
              </w:rPr>
              <w:t>供应商</w:t>
            </w:r>
            <w:r>
              <w:rPr>
                <w:rFonts w:hint="eastAsia" w:ascii="宋体" w:hAnsi="宋体" w:eastAsia="宋体"/>
                <w:color w:val="auto"/>
                <w:sz w:val="23"/>
                <w:szCs w:val="23"/>
                <w:highlight w:val="none"/>
              </w:rPr>
              <w:t>所提供的应急维修方案进行综合评审</w:t>
            </w:r>
            <w:r>
              <w:rPr>
                <w:rFonts w:hint="eastAsia" w:ascii="宋体" w:hAnsi="宋体" w:eastAsia="宋体"/>
                <w:color w:val="auto"/>
                <w:sz w:val="23"/>
                <w:szCs w:val="23"/>
                <w:highlight w:val="none"/>
                <w:lang w:eastAsia="zh-CN"/>
              </w:rPr>
              <w:t>。</w:t>
            </w:r>
          </w:p>
          <w:p>
            <w:pPr>
              <w:numPr>
                <w:ilvl w:val="0"/>
                <w:numId w:val="0"/>
              </w:numPr>
              <w:spacing w:line="24" w:lineRule="atLeast"/>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1、应急方案完整、合理，可行性高，具有针对性，</w:t>
            </w:r>
            <w:r>
              <w:rPr>
                <w:rFonts w:hint="eastAsia" w:ascii="宋体" w:hAnsi="宋体" w:eastAsia="宋体"/>
                <w:color w:val="auto"/>
                <w:sz w:val="23"/>
                <w:szCs w:val="23"/>
                <w:highlight w:val="none"/>
              </w:rPr>
              <w:t>完全适用项目需求的</w:t>
            </w:r>
            <w:r>
              <w:rPr>
                <w:rFonts w:hint="eastAsia" w:ascii="宋体" w:hAnsi="宋体" w:eastAsia="宋体"/>
                <w:color w:val="auto"/>
                <w:sz w:val="23"/>
                <w:szCs w:val="23"/>
                <w:highlight w:val="none"/>
                <w:lang w:eastAsia="zh-CN"/>
              </w:rPr>
              <w:t>，</w:t>
            </w:r>
            <w:r>
              <w:rPr>
                <w:rFonts w:hint="eastAsia" w:ascii="宋体" w:hAnsi="宋体" w:eastAsia="宋体" w:cs="宋体"/>
                <w:color w:val="auto"/>
                <w:kern w:val="0"/>
                <w:sz w:val="22"/>
                <w:szCs w:val="22"/>
                <w:highlight w:val="none"/>
                <w:lang w:val="en-US" w:eastAsia="zh-CN" w:bidi="ar"/>
              </w:rPr>
              <w:t>得5分；</w:t>
            </w:r>
          </w:p>
          <w:p>
            <w:pPr>
              <w:numPr>
                <w:ilvl w:val="0"/>
                <w:numId w:val="0"/>
              </w:numPr>
              <w:spacing w:line="24" w:lineRule="atLeast"/>
              <w:rPr>
                <w:rFonts w:hint="default" w:ascii="宋体" w:hAnsi="宋体" w:eastAsia="宋体" w:cs="宋体"/>
                <w:color w:val="auto"/>
                <w:kern w:val="0"/>
                <w:sz w:val="22"/>
                <w:szCs w:val="22"/>
                <w:highlight w:val="none"/>
                <w:lang w:val="en-US" w:eastAsia="zh-CN" w:bidi="ar"/>
              </w:rPr>
            </w:pPr>
            <w:r>
              <w:rPr>
                <w:rFonts w:hint="default" w:ascii="宋体" w:hAnsi="宋体" w:eastAsia="宋体" w:cs="宋体"/>
                <w:color w:val="auto"/>
                <w:kern w:val="0"/>
                <w:sz w:val="22"/>
                <w:szCs w:val="22"/>
                <w:highlight w:val="none"/>
                <w:lang w:val="en-US" w:eastAsia="zh-CN" w:bidi="ar"/>
              </w:rPr>
              <w:t>2、</w:t>
            </w:r>
            <w:r>
              <w:rPr>
                <w:rFonts w:hint="eastAsia" w:ascii="宋体" w:hAnsi="宋体" w:eastAsia="宋体" w:cs="宋体"/>
                <w:color w:val="auto"/>
                <w:kern w:val="0"/>
                <w:sz w:val="22"/>
                <w:szCs w:val="22"/>
                <w:highlight w:val="none"/>
                <w:lang w:val="en-US" w:eastAsia="zh-CN" w:bidi="ar"/>
              </w:rPr>
              <w:t>应急方案较完整、较合理，可行性较高，但缺乏针对性，</w:t>
            </w:r>
            <w:r>
              <w:rPr>
                <w:rFonts w:hint="eastAsia" w:ascii="宋体" w:hAnsi="宋体" w:eastAsia="宋体"/>
                <w:color w:val="auto"/>
                <w:sz w:val="23"/>
                <w:szCs w:val="23"/>
                <w:highlight w:val="none"/>
              </w:rPr>
              <w:t>基本适用项目需求的，</w:t>
            </w:r>
            <w:r>
              <w:rPr>
                <w:rFonts w:hint="eastAsia" w:ascii="宋体" w:hAnsi="宋体" w:eastAsia="宋体" w:cs="宋体"/>
                <w:color w:val="auto"/>
                <w:kern w:val="0"/>
                <w:sz w:val="22"/>
                <w:szCs w:val="22"/>
                <w:highlight w:val="none"/>
                <w:lang w:val="en-US" w:eastAsia="zh-CN" w:bidi="ar"/>
              </w:rPr>
              <w:t>得3分；</w:t>
            </w:r>
          </w:p>
          <w:p>
            <w:pPr>
              <w:numPr>
                <w:ilvl w:val="0"/>
                <w:numId w:val="0"/>
              </w:numPr>
              <w:spacing w:line="24" w:lineRule="atLeast"/>
              <w:rPr>
                <w:rFonts w:hint="default" w:ascii="宋体" w:hAnsi="宋体" w:eastAsia="宋体" w:cs="宋体"/>
                <w:color w:val="auto"/>
                <w:kern w:val="0"/>
                <w:sz w:val="22"/>
                <w:szCs w:val="22"/>
                <w:highlight w:val="none"/>
                <w:lang w:val="en-US" w:eastAsia="zh-CN" w:bidi="ar"/>
              </w:rPr>
            </w:pPr>
            <w:r>
              <w:rPr>
                <w:rFonts w:hint="default" w:ascii="宋体" w:hAnsi="宋体" w:eastAsia="宋体" w:cs="宋体"/>
                <w:color w:val="auto"/>
                <w:kern w:val="0"/>
                <w:sz w:val="22"/>
                <w:szCs w:val="22"/>
                <w:highlight w:val="none"/>
                <w:lang w:val="en-US" w:eastAsia="zh-CN" w:bidi="ar"/>
              </w:rPr>
              <w:t>3、</w:t>
            </w:r>
            <w:r>
              <w:rPr>
                <w:rFonts w:hint="eastAsia" w:ascii="宋体" w:hAnsi="宋体" w:eastAsia="宋体" w:cs="宋体"/>
                <w:color w:val="auto"/>
                <w:kern w:val="0"/>
                <w:sz w:val="22"/>
                <w:szCs w:val="22"/>
                <w:highlight w:val="none"/>
                <w:lang w:val="en-US" w:eastAsia="zh-CN" w:bidi="ar"/>
              </w:rPr>
              <w:t>应急方案未提供，不得分。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817" w:type="dxa"/>
            <w:vMerge w:val="restart"/>
            <w:vAlign w:val="center"/>
          </w:tcPr>
          <w:p>
            <w:pPr>
              <w:spacing w:line="480" w:lineRule="exact"/>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p>
        </w:tc>
        <w:tc>
          <w:tcPr>
            <w:tcW w:w="1843" w:type="dxa"/>
            <w:vMerge w:val="restart"/>
            <w:vAlign w:val="center"/>
          </w:tcPr>
          <w:p>
            <w:pPr>
              <w:spacing w:line="480" w:lineRule="exact"/>
              <w:jc w:val="center"/>
              <w:rPr>
                <w:rFonts w:ascii="宋体" w:hAnsi="宋体" w:eastAsia="宋体"/>
                <w:color w:val="auto"/>
                <w:sz w:val="23"/>
                <w:szCs w:val="23"/>
                <w:highlight w:val="none"/>
              </w:rPr>
            </w:pPr>
            <w:r>
              <w:rPr>
                <w:rFonts w:hint="eastAsia" w:ascii="宋体" w:hAnsi="宋体" w:eastAsia="宋体"/>
                <w:color w:val="auto"/>
                <w:sz w:val="23"/>
                <w:szCs w:val="23"/>
                <w:highlight w:val="none"/>
              </w:rPr>
              <w:t>技术人员资质（</w:t>
            </w:r>
            <w:r>
              <w:rPr>
                <w:rFonts w:hint="eastAsia" w:ascii="宋体" w:hAnsi="宋体" w:eastAsia="宋体"/>
                <w:color w:val="auto"/>
                <w:sz w:val="23"/>
                <w:szCs w:val="23"/>
                <w:highlight w:val="none"/>
                <w:lang w:val="en-US" w:eastAsia="zh-CN"/>
              </w:rPr>
              <w:t>14</w:t>
            </w:r>
            <w:r>
              <w:rPr>
                <w:rFonts w:hint="eastAsia" w:ascii="宋体" w:hAnsi="宋体" w:eastAsia="宋体"/>
                <w:color w:val="auto"/>
                <w:sz w:val="23"/>
                <w:szCs w:val="23"/>
                <w:highlight w:val="none"/>
              </w:rPr>
              <w:t>分）</w:t>
            </w:r>
          </w:p>
        </w:tc>
        <w:tc>
          <w:tcPr>
            <w:tcW w:w="6124" w:type="dxa"/>
          </w:tcPr>
          <w:p>
            <w:pPr>
              <w:textAlignment w:val="center"/>
              <w:rPr>
                <w:rFonts w:ascii="宋体" w:hAnsi="宋体" w:eastAsia="宋体" w:cs="宋体"/>
                <w:color w:val="auto"/>
                <w:sz w:val="21"/>
                <w:szCs w:val="21"/>
                <w:highlight w:val="none"/>
              </w:rPr>
            </w:pPr>
            <w:r>
              <w:rPr>
                <w:rFonts w:hint="eastAsia" w:ascii="宋体" w:hAnsi="宋体" w:eastAsia="宋体"/>
                <w:color w:val="auto"/>
                <w:sz w:val="23"/>
                <w:szCs w:val="23"/>
                <w:highlight w:val="none"/>
                <w:lang w:val="en-US" w:eastAsia="zh-CN"/>
              </w:rPr>
              <w:t>供应商</w:t>
            </w:r>
            <w:r>
              <w:rPr>
                <w:rFonts w:ascii="宋体" w:hAnsi="宋体" w:eastAsia="宋体"/>
                <w:color w:val="auto"/>
                <w:sz w:val="21"/>
                <w:szCs w:val="21"/>
                <w:highlight w:val="none"/>
              </w:rPr>
              <w:t>的服务团队成员中具有人力资源和社会保障局</w:t>
            </w:r>
            <w:r>
              <w:rPr>
                <w:rFonts w:hint="eastAsia" w:ascii="宋体" w:hAnsi="宋体" w:eastAsia="宋体" w:cs="宋体"/>
                <w:color w:val="auto"/>
                <w:sz w:val="21"/>
                <w:szCs w:val="21"/>
                <w:highlight w:val="none"/>
              </w:rPr>
              <w:t>评审</w:t>
            </w:r>
            <w:r>
              <w:rPr>
                <w:rFonts w:ascii="宋体" w:hAnsi="宋体" w:eastAsia="宋体"/>
                <w:color w:val="auto"/>
                <w:sz w:val="21"/>
                <w:szCs w:val="21"/>
                <w:highlight w:val="none"/>
              </w:rPr>
              <w:t>的医疗器械</w:t>
            </w:r>
            <w:r>
              <w:rPr>
                <w:rFonts w:hint="eastAsia" w:ascii="宋体" w:hAnsi="宋体" w:eastAsia="宋体"/>
                <w:color w:val="auto"/>
                <w:sz w:val="21"/>
                <w:szCs w:val="21"/>
                <w:highlight w:val="none"/>
                <w:lang w:val="en-US" w:eastAsia="zh-CN"/>
              </w:rPr>
              <w:t>工程师</w:t>
            </w:r>
            <w:r>
              <w:rPr>
                <w:rFonts w:ascii="宋体" w:hAnsi="宋体" w:eastAsia="宋体"/>
                <w:color w:val="auto"/>
                <w:sz w:val="21"/>
                <w:szCs w:val="21"/>
                <w:highlight w:val="none"/>
              </w:rPr>
              <w:t>职称证书</w:t>
            </w:r>
            <w:r>
              <w:rPr>
                <w:rFonts w:hint="eastAsia" w:ascii="宋体" w:hAnsi="宋体" w:eastAsia="宋体"/>
                <w:color w:val="auto"/>
                <w:sz w:val="21"/>
                <w:szCs w:val="21"/>
                <w:highlight w:val="none"/>
              </w:rPr>
              <w:t>，</w:t>
            </w:r>
            <w:r>
              <w:rPr>
                <w:rFonts w:ascii="宋体" w:hAnsi="宋体" w:eastAsia="宋体"/>
                <w:color w:val="auto"/>
                <w:sz w:val="21"/>
                <w:szCs w:val="21"/>
                <w:highlight w:val="none"/>
              </w:rPr>
              <w:t>每提供一个得2分，本小项最高得</w:t>
            </w:r>
            <w:r>
              <w:rPr>
                <w:rFonts w:hint="eastAsia" w:ascii="宋体" w:hAnsi="宋体" w:eastAsia="宋体"/>
                <w:color w:val="auto"/>
                <w:sz w:val="21"/>
                <w:szCs w:val="21"/>
                <w:highlight w:val="none"/>
                <w:lang w:val="en-US" w:eastAsia="zh-CN"/>
              </w:rPr>
              <w:t>6</w:t>
            </w:r>
            <w:r>
              <w:rPr>
                <w:rFonts w:ascii="宋体" w:hAnsi="宋体" w:eastAsia="宋体"/>
                <w:color w:val="auto"/>
                <w:sz w:val="21"/>
                <w:szCs w:val="21"/>
                <w:highlight w:val="none"/>
              </w:rPr>
              <w:t>分</w:t>
            </w:r>
          </w:p>
          <w:p>
            <w:pPr>
              <w:spacing w:line="312" w:lineRule="auto"/>
              <w:ind w:left="-50" w:right="-51"/>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注：须提供以上人员相关证书复印件及供应商为其购买的202</w:t>
            </w:r>
            <w:r>
              <w:rPr>
                <w:rFonts w:ascii="宋体" w:hAnsi="宋体" w:eastAsia="宋体" w:cs="宋体"/>
                <w:b/>
                <w:bCs/>
                <w:color w:val="auto"/>
                <w:sz w:val="21"/>
                <w:szCs w:val="21"/>
                <w:highlight w:val="none"/>
              </w:rPr>
              <w:t>5</w:t>
            </w:r>
            <w:r>
              <w:rPr>
                <w:rFonts w:hint="eastAsia" w:ascii="宋体" w:hAnsi="宋体" w:eastAsia="宋体" w:cs="宋体"/>
                <w:b/>
                <w:bCs/>
                <w:color w:val="auto"/>
                <w:sz w:val="21"/>
                <w:szCs w:val="21"/>
                <w:highlight w:val="none"/>
              </w:rPr>
              <w:t>年</w:t>
            </w:r>
            <w:r>
              <w:rPr>
                <w:rFonts w:hint="eastAsia" w:ascii="宋体" w:hAnsi="宋体" w:eastAsia="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月-</w:t>
            </w:r>
            <w:r>
              <w:rPr>
                <w:rFonts w:ascii="宋体" w:hAnsi="宋体" w:eastAsia="宋体" w:cs="宋体"/>
                <w:b/>
                <w:bCs/>
                <w:color w:val="auto"/>
                <w:sz w:val="21"/>
                <w:szCs w:val="21"/>
                <w:highlight w:val="none"/>
              </w:rPr>
              <w:t>2026</w:t>
            </w:r>
            <w:r>
              <w:rPr>
                <w:rFonts w:hint="eastAsia" w:ascii="宋体" w:hAnsi="宋体" w:eastAsia="宋体" w:cs="宋体"/>
                <w:b/>
                <w:bCs/>
                <w:color w:val="auto"/>
                <w:sz w:val="21"/>
                <w:szCs w:val="21"/>
                <w:highlight w:val="none"/>
              </w:rPr>
              <w:t>年</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月期间任意</w:t>
            </w:r>
            <w:r>
              <w:rPr>
                <w:rFonts w:hint="eastAsia" w:ascii="宋体" w:hAnsi="宋体" w:eastAsia="宋体" w:cs="宋体"/>
                <w:b/>
                <w:bCs/>
                <w:color w:val="auto"/>
                <w:sz w:val="21"/>
                <w:szCs w:val="21"/>
                <w:highlight w:val="none"/>
                <w:lang w:val="en-US" w:eastAsia="zh-CN"/>
              </w:rPr>
              <w:t>一个</w:t>
            </w:r>
            <w:r>
              <w:rPr>
                <w:rFonts w:hint="eastAsia" w:ascii="宋体" w:hAnsi="宋体" w:eastAsia="宋体" w:cs="宋体"/>
                <w:b/>
                <w:bCs/>
                <w:color w:val="auto"/>
                <w:sz w:val="21"/>
                <w:szCs w:val="21"/>
                <w:highlight w:val="none"/>
              </w:rPr>
              <w:t>月的社保证明复印件。未按要求提供证明材料的不得分。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817" w:type="dxa"/>
            <w:vMerge w:val="continue"/>
            <w:vAlign w:val="center"/>
          </w:tcPr>
          <w:p>
            <w:pPr>
              <w:spacing w:line="480" w:lineRule="exact"/>
              <w:jc w:val="center"/>
              <w:rPr>
                <w:rFonts w:ascii="宋体" w:hAnsi="宋体" w:eastAsia="宋体" w:cs="宋体"/>
                <w:color w:val="auto"/>
                <w:highlight w:val="none"/>
              </w:rPr>
            </w:pPr>
          </w:p>
        </w:tc>
        <w:tc>
          <w:tcPr>
            <w:tcW w:w="1843" w:type="dxa"/>
            <w:vMerge w:val="continue"/>
            <w:vAlign w:val="center"/>
          </w:tcPr>
          <w:p>
            <w:pPr>
              <w:spacing w:line="480" w:lineRule="exact"/>
              <w:jc w:val="center"/>
              <w:rPr>
                <w:rFonts w:ascii="宋体" w:hAnsi="宋体" w:eastAsia="宋体"/>
                <w:color w:val="auto"/>
                <w:sz w:val="23"/>
                <w:szCs w:val="23"/>
                <w:highlight w:val="none"/>
              </w:rPr>
            </w:pPr>
          </w:p>
        </w:tc>
        <w:tc>
          <w:tcPr>
            <w:tcW w:w="6124" w:type="dxa"/>
          </w:tcPr>
          <w:p>
            <w:pPr>
              <w:spacing w:line="312" w:lineRule="auto"/>
              <w:rPr>
                <w:rFonts w:ascii="宋体" w:hAnsi="宋体" w:eastAsia="宋体" w:cs="宋体"/>
                <w:color w:val="auto"/>
                <w:sz w:val="21"/>
                <w:szCs w:val="21"/>
                <w:highlight w:val="none"/>
              </w:rPr>
            </w:pPr>
            <w:r>
              <w:rPr>
                <w:rFonts w:ascii="宋体" w:hAnsi="宋体" w:eastAsia="宋体" w:cs="宋体"/>
                <w:color w:val="auto"/>
                <w:sz w:val="21"/>
                <w:szCs w:val="21"/>
                <w:highlight w:val="none"/>
              </w:rPr>
              <w:t>2</w:t>
            </w:r>
            <w:r>
              <w:rPr>
                <w:rFonts w:hint="eastAsia" w:ascii="宋体" w:hAnsi="宋体" w:eastAsia="宋体" w:cs="宋体"/>
                <w:color w:val="auto"/>
                <w:sz w:val="21"/>
                <w:szCs w:val="21"/>
                <w:highlight w:val="none"/>
              </w:rPr>
              <w:t>、服务团队成员中的技术人员具有大型医用设备上岗资质证书或医学设备管理工程技术人员岗位胜任力培训合格证书，专业（工种）：MRI、CT、医用X线机、超声设备、医用检验设备、急救设备（呼吸机/麻醉机/心电图/监护仪/除颤器</w:t>
            </w:r>
            <w:r>
              <w:rPr>
                <w:rFonts w:ascii="宋体" w:hAnsi="宋体" w:eastAsia="宋体" w:cs="宋体"/>
                <w:color w:val="auto"/>
                <w:sz w:val="21"/>
                <w:szCs w:val="21"/>
                <w:highlight w:val="none"/>
              </w:rPr>
              <w:t>）</w:t>
            </w:r>
            <w:r>
              <w:rPr>
                <w:rFonts w:hint="eastAsia" w:ascii="宋体" w:hAnsi="宋体" w:eastAsia="宋体" w:cs="宋体"/>
                <w:color w:val="auto"/>
                <w:sz w:val="21"/>
                <w:szCs w:val="21"/>
                <w:highlight w:val="none"/>
              </w:rPr>
              <w:t>等的维修、维护培训合格证书或维修、维护岗位资质证书的，每提供一类设备证书得0.5分，最高得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分。（同一人具有多个类别证书的可重复得分）</w:t>
            </w:r>
          </w:p>
          <w:p>
            <w:pPr>
              <w:pStyle w:val="53"/>
              <w:jc w:val="both"/>
              <w:rPr>
                <w:rFonts w:ascii="宋体" w:hAnsi="宋体" w:eastAsia="宋体"/>
                <w:color w:val="auto"/>
                <w:sz w:val="23"/>
                <w:szCs w:val="23"/>
                <w:highlight w:val="none"/>
              </w:rPr>
            </w:pPr>
            <w:r>
              <w:rPr>
                <w:rFonts w:hint="eastAsia" w:ascii="宋体" w:hAnsi="宋体" w:eastAsia="宋体" w:cs="宋体"/>
                <w:color w:val="auto"/>
                <w:sz w:val="21"/>
                <w:szCs w:val="21"/>
                <w:highlight w:val="none"/>
              </w:rPr>
              <w:t>（注：须提供以上人员相关证书复印件及供应商为其购买的</w:t>
            </w:r>
            <w:r>
              <w:rPr>
                <w:rFonts w:hint="eastAsia" w:ascii="宋体" w:hAnsi="宋体" w:eastAsia="宋体" w:cs="宋体"/>
                <w:b/>
                <w:bCs/>
                <w:color w:val="auto"/>
                <w:sz w:val="21"/>
                <w:szCs w:val="21"/>
                <w:highlight w:val="none"/>
              </w:rPr>
              <w:t>202</w:t>
            </w:r>
            <w:r>
              <w:rPr>
                <w:rFonts w:ascii="宋体" w:hAnsi="宋体" w:eastAsia="宋体" w:cs="宋体"/>
                <w:b/>
                <w:bCs/>
                <w:color w:val="auto"/>
                <w:sz w:val="21"/>
                <w:szCs w:val="21"/>
                <w:highlight w:val="none"/>
              </w:rPr>
              <w:t>5</w:t>
            </w:r>
            <w:r>
              <w:rPr>
                <w:rFonts w:hint="eastAsia" w:ascii="宋体" w:hAnsi="宋体" w:eastAsia="宋体" w:cs="宋体"/>
                <w:b/>
                <w:bCs/>
                <w:color w:val="auto"/>
                <w:sz w:val="21"/>
                <w:szCs w:val="21"/>
                <w:highlight w:val="none"/>
              </w:rPr>
              <w:t>年</w:t>
            </w:r>
            <w:r>
              <w:rPr>
                <w:rFonts w:hint="eastAsia" w:ascii="宋体" w:hAnsi="宋体" w:eastAsia="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月-</w:t>
            </w:r>
            <w:r>
              <w:rPr>
                <w:rFonts w:ascii="宋体" w:hAnsi="宋体" w:eastAsia="宋体" w:cs="宋体"/>
                <w:b/>
                <w:bCs/>
                <w:color w:val="auto"/>
                <w:sz w:val="21"/>
                <w:szCs w:val="21"/>
                <w:highlight w:val="none"/>
              </w:rPr>
              <w:t>2026</w:t>
            </w:r>
            <w:r>
              <w:rPr>
                <w:rFonts w:hint="eastAsia" w:ascii="宋体" w:hAnsi="宋体" w:eastAsia="宋体" w:cs="宋体"/>
                <w:b/>
                <w:bCs/>
                <w:color w:val="auto"/>
                <w:sz w:val="21"/>
                <w:szCs w:val="21"/>
                <w:highlight w:val="none"/>
              </w:rPr>
              <w:t>年</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月期间任意</w:t>
            </w:r>
            <w:r>
              <w:rPr>
                <w:rFonts w:hint="eastAsia" w:ascii="宋体" w:hAnsi="宋体" w:eastAsia="宋体" w:cs="宋体"/>
                <w:b/>
                <w:bCs/>
                <w:color w:val="auto"/>
                <w:sz w:val="21"/>
                <w:szCs w:val="21"/>
                <w:highlight w:val="none"/>
                <w:lang w:val="en-US" w:eastAsia="zh-CN"/>
              </w:rPr>
              <w:t>一个</w:t>
            </w:r>
            <w:r>
              <w:rPr>
                <w:rFonts w:hint="eastAsia" w:ascii="宋体" w:hAnsi="宋体" w:eastAsia="宋体" w:cs="宋体"/>
                <w:b/>
                <w:bCs/>
                <w:color w:val="auto"/>
                <w:sz w:val="21"/>
                <w:szCs w:val="21"/>
                <w:highlight w:val="none"/>
              </w:rPr>
              <w:t>月的社保证明复印件</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9" w:hRule="atLeast"/>
          <w:jc w:val="center"/>
        </w:trPr>
        <w:tc>
          <w:tcPr>
            <w:tcW w:w="817" w:type="dxa"/>
            <w:vMerge w:val="continue"/>
            <w:vAlign w:val="center"/>
          </w:tcPr>
          <w:p>
            <w:pPr>
              <w:spacing w:line="480" w:lineRule="exact"/>
              <w:jc w:val="center"/>
              <w:rPr>
                <w:rFonts w:ascii="宋体" w:hAnsi="宋体" w:eastAsia="宋体" w:cs="宋体"/>
                <w:color w:val="auto"/>
                <w:highlight w:val="none"/>
              </w:rPr>
            </w:pPr>
          </w:p>
        </w:tc>
        <w:tc>
          <w:tcPr>
            <w:tcW w:w="1843" w:type="dxa"/>
            <w:vMerge w:val="continue"/>
            <w:vAlign w:val="center"/>
          </w:tcPr>
          <w:p>
            <w:pPr>
              <w:spacing w:line="480" w:lineRule="exact"/>
              <w:jc w:val="center"/>
              <w:rPr>
                <w:rFonts w:ascii="宋体" w:hAnsi="宋体" w:eastAsia="宋体"/>
                <w:color w:val="auto"/>
                <w:sz w:val="23"/>
                <w:szCs w:val="23"/>
                <w:highlight w:val="none"/>
              </w:rPr>
            </w:pPr>
          </w:p>
        </w:tc>
        <w:tc>
          <w:tcPr>
            <w:tcW w:w="6124" w:type="dxa"/>
          </w:tcPr>
          <w:p>
            <w:pPr>
              <w:spacing w:line="312" w:lineRule="auto"/>
              <w:rPr>
                <w:rFonts w:ascii="宋体" w:hAnsi="宋体" w:eastAsia="宋体" w:cs="宋体"/>
                <w:color w:val="auto"/>
                <w:sz w:val="21"/>
                <w:szCs w:val="21"/>
                <w:highlight w:val="none"/>
              </w:rPr>
            </w:pPr>
            <w:r>
              <w:rPr>
                <w:rFonts w:ascii="宋体" w:hAnsi="宋体" w:eastAsia="宋体" w:cs="宋体"/>
                <w:color w:val="auto"/>
                <w:sz w:val="21"/>
                <w:szCs w:val="21"/>
                <w:highlight w:val="none"/>
              </w:rPr>
              <w:t>3</w:t>
            </w:r>
            <w:r>
              <w:rPr>
                <w:rFonts w:hint="eastAsia" w:ascii="宋体" w:hAnsi="宋体" w:eastAsia="宋体" w:cs="宋体"/>
                <w:color w:val="auto"/>
                <w:sz w:val="21"/>
                <w:szCs w:val="21"/>
                <w:highlight w:val="none"/>
              </w:rPr>
              <w:t>、服务团队成员中的技术人员具有有效期内的R1（快开门式压力容器操作或固定式压力容器操作）、A（特种设备安全管理）特种设备作业人员证书的，每提供一个类别得</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分，最高得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分。（同一人具有多个类别可重复得分）</w:t>
            </w:r>
          </w:p>
          <w:p>
            <w:pPr>
              <w:spacing w:line="312"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（注：须提供以上人员相关证书复印件及供应商为其购买的</w:t>
            </w:r>
            <w:r>
              <w:rPr>
                <w:rFonts w:hint="eastAsia" w:ascii="宋体" w:hAnsi="宋体" w:eastAsia="宋体" w:cs="宋体"/>
                <w:b/>
                <w:bCs/>
                <w:color w:val="auto"/>
                <w:sz w:val="21"/>
                <w:szCs w:val="21"/>
                <w:highlight w:val="none"/>
              </w:rPr>
              <w:t>202</w:t>
            </w:r>
            <w:r>
              <w:rPr>
                <w:rFonts w:ascii="宋体" w:hAnsi="宋体" w:eastAsia="宋体" w:cs="宋体"/>
                <w:b/>
                <w:bCs/>
                <w:color w:val="auto"/>
                <w:sz w:val="21"/>
                <w:szCs w:val="21"/>
                <w:highlight w:val="none"/>
              </w:rPr>
              <w:t>5</w:t>
            </w:r>
            <w:r>
              <w:rPr>
                <w:rFonts w:hint="eastAsia" w:ascii="宋体" w:hAnsi="宋体" w:eastAsia="宋体" w:cs="宋体"/>
                <w:b/>
                <w:bCs/>
                <w:color w:val="auto"/>
                <w:sz w:val="21"/>
                <w:szCs w:val="21"/>
                <w:highlight w:val="none"/>
              </w:rPr>
              <w:t>年</w:t>
            </w:r>
            <w:r>
              <w:rPr>
                <w:rFonts w:hint="eastAsia" w:ascii="宋体" w:hAnsi="宋体" w:eastAsia="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月-</w:t>
            </w:r>
            <w:r>
              <w:rPr>
                <w:rFonts w:ascii="宋体" w:hAnsi="宋体" w:eastAsia="宋体" w:cs="宋体"/>
                <w:b/>
                <w:bCs/>
                <w:color w:val="auto"/>
                <w:sz w:val="21"/>
                <w:szCs w:val="21"/>
                <w:highlight w:val="none"/>
              </w:rPr>
              <w:t>2026</w:t>
            </w:r>
            <w:r>
              <w:rPr>
                <w:rFonts w:hint="eastAsia" w:ascii="宋体" w:hAnsi="宋体" w:eastAsia="宋体" w:cs="宋体"/>
                <w:b/>
                <w:bCs/>
                <w:color w:val="auto"/>
                <w:sz w:val="21"/>
                <w:szCs w:val="21"/>
                <w:highlight w:val="none"/>
              </w:rPr>
              <w:t>年</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月期间任意</w:t>
            </w:r>
            <w:r>
              <w:rPr>
                <w:rFonts w:hint="eastAsia" w:ascii="宋体" w:hAnsi="宋体" w:eastAsia="宋体" w:cs="宋体"/>
                <w:b/>
                <w:bCs/>
                <w:color w:val="auto"/>
                <w:sz w:val="21"/>
                <w:szCs w:val="21"/>
                <w:highlight w:val="none"/>
                <w:lang w:val="en-US" w:eastAsia="zh-CN"/>
              </w:rPr>
              <w:t>一个</w:t>
            </w:r>
            <w:r>
              <w:rPr>
                <w:rFonts w:hint="eastAsia" w:ascii="宋体" w:hAnsi="宋体" w:eastAsia="宋体" w:cs="宋体"/>
                <w:b/>
                <w:bCs/>
                <w:color w:val="auto"/>
                <w:sz w:val="21"/>
                <w:szCs w:val="21"/>
                <w:highlight w:val="none"/>
              </w:rPr>
              <w:t>月的社保证明复印件</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5" w:hRule="atLeast"/>
          <w:jc w:val="center"/>
        </w:trPr>
        <w:tc>
          <w:tcPr>
            <w:tcW w:w="817" w:type="dxa"/>
            <w:vAlign w:val="center"/>
          </w:tcPr>
          <w:p>
            <w:pPr>
              <w:spacing w:line="480" w:lineRule="exact"/>
              <w:jc w:val="center"/>
              <w:rPr>
                <w:rFonts w:ascii="宋体" w:hAnsi="宋体" w:eastAsia="宋体" w:cs="宋体"/>
                <w:color w:val="auto"/>
                <w:highlight w:val="none"/>
              </w:rPr>
            </w:pPr>
            <w:r>
              <w:rPr>
                <w:rFonts w:hint="eastAsia" w:ascii="宋体" w:hAnsi="宋体" w:eastAsia="宋体" w:cs="宋体"/>
                <w:color w:val="auto"/>
                <w:highlight w:val="none"/>
                <w:lang w:val="en-US" w:eastAsia="zh-CN"/>
              </w:rPr>
              <w:t>6</w:t>
            </w:r>
          </w:p>
        </w:tc>
        <w:tc>
          <w:tcPr>
            <w:tcW w:w="1843" w:type="dxa"/>
            <w:vAlign w:val="center"/>
          </w:tcPr>
          <w:p>
            <w:pPr>
              <w:spacing w:line="4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医疗设备质控检测设备情况</w:t>
            </w:r>
          </w:p>
          <w:p>
            <w:pPr>
              <w:spacing w:line="480" w:lineRule="exact"/>
              <w:jc w:val="center"/>
              <w:rPr>
                <w:rFonts w:ascii="宋体" w:hAnsi="宋体" w:eastAsia="宋体"/>
                <w:color w:val="auto"/>
                <w:sz w:val="23"/>
                <w:szCs w:val="23"/>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val="en-US" w:eastAsia="zh-CN"/>
              </w:rPr>
              <w:t>）</w:t>
            </w:r>
          </w:p>
        </w:tc>
        <w:tc>
          <w:tcPr>
            <w:tcW w:w="6124" w:type="dxa"/>
            <w:vAlign w:val="center"/>
          </w:tcPr>
          <w:p>
            <w:pPr>
              <w:spacing w:line="312" w:lineRule="auto"/>
              <w:rPr>
                <w:rFonts w:ascii="宋体" w:hAnsi="宋体" w:eastAsia="宋体" w:cs="宋体"/>
                <w:color w:val="auto"/>
                <w:highlight w:val="none"/>
              </w:rPr>
            </w:pPr>
            <w:r>
              <w:rPr>
                <w:rFonts w:hint="eastAsia" w:ascii="宋体" w:hAnsi="宋体" w:eastAsia="宋体" w:cs="宋体"/>
                <w:color w:val="auto"/>
                <w:highlight w:val="none"/>
              </w:rPr>
              <w:t>投标人具有以下的专业医疗设备质控设备：</w:t>
            </w:r>
            <w:bookmarkStart w:id="7" w:name="OLE_LINK10"/>
            <w:bookmarkStart w:id="8" w:name="OLE_LINK11"/>
            <w:r>
              <w:rPr>
                <w:rFonts w:hint="eastAsia" w:ascii="宋体" w:hAnsi="宋体" w:eastAsia="宋体" w:cs="宋体"/>
                <w:color w:val="auto"/>
                <w:highlight w:val="none"/>
              </w:rPr>
              <w:t>①医用电气安全分析仪、②多参数生命体征模拟仪、③除颤/起博器分析仪、④气流分析仪、⑤注射泵和输液泵检测仪、⑥高频电刀质量检测仪</w:t>
            </w:r>
            <w:bookmarkEnd w:id="7"/>
            <w:bookmarkEnd w:id="8"/>
            <w:r>
              <w:rPr>
                <w:rFonts w:hint="eastAsia" w:ascii="宋体" w:hAnsi="宋体" w:eastAsia="宋体" w:cs="宋体"/>
                <w:color w:val="auto"/>
                <w:highlight w:val="none"/>
              </w:rPr>
              <w:t>，每提供一种设备得</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分，满分为</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分。</w:t>
            </w:r>
          </w:p>
          <w:p>
            <w:pPr>
              <w:spacing w:line="312" w:lineRule="auto"/>
              <w:rPr>
                <w:rFonts w:ascii="宋体" w:hAnsi="宋体" w:eastAsia="宋体" w:cs="宋体"/>
                <w:color w:val="auto"/>
                <w:sz w:val="21"/>
                <w:szCs w:val="21"/>
                <w:highlight w:val="none"/>
              </w:rPr>
            </w:pPr>
            <w:r>
              <w:rPr>
                <w:rFonts w:hint="eastAsia" w:ascii="宋体" w:hAnsi="宋体" w:eastAsia="宋体" w:cs="宋体"/>
                <w:b/>
                <w:bCs/>
                <w:color w:val="auto"/>
                <w:highlight w:val="none"/>
              </w:rPr>
              <w:t>（注：</w:t>
            </w:r>
            <w:r>
              <w:rPr>
                <w:rFonts w:hint="eastAsia" w:ascii="宋体" w:hAnsi="宋体" w:eastAsia="宋体" w:cs="宋体"/>
                <w:b/>
                <w:bCs/>
                <w:color w:val="auto"/>
                <w:highlight w:val="none"/>
                <w:lang w:val="en-US" w:eastAsia="zh-CN"/>
              </w:rPr>
              <w:t>响应</w:t>
            </w:r>
            <w:r>
              <w:rPr>
                <w:rFonts w:hint="eastAsia" w:ascii="宋体" w:hAnsi="宋体" w:eastAsia="宋体" w:cs="宋体"/>
                <w:b/>
                <w:bCs/>
                <w:color w:val="auto"/>
                <w:highlight w:val="none"/>
              </w:rPr>
              <w:t>文件提供质控设备购买发票复印件及有效期内的校准证书复印件（加盖公章），否则不得分。）</w:t>
            </w:r>
          </w:p>
        </w:tc>
      </w:tr>
    </w:tbl>
    <w:p>
      <w:pPr>
        <w:spacing w:line="480" w:lineRule="exact"/>
        <w:rPr>
          <w:rFonts w:ascii="宋体" w:hAnsi="宋体" w:eastAsia="宋体" w:cs="宋体"/>
          <w:color w:val="auto"/>
          <w:highlight w:val="none"/>
        </w:rPr>
      </w:pPr>
    </w:p>
    <w:p>
      <w:pPr>
        <w:spacing w:line="480" w:lineRule="exact"/>
        <w:rPr>
          <w:rFonts w:ascii="宋体" w:hAnsi="宋体" w:eastAsia="宋体" w:cs="宋体"/>
          <w:color w:val="auto"/>
          <w:highlight w:val="none"/>
        </w:rPr>
      </w:pPr>
    </w:p>
    <w:p>
      <w:pPr>
        <w:spacing w:line="480" w:lineRule="exact"/>
        <w:rPr>
          <w:rFonts w:ascii="宋体" w:hAnsi="宋体" w:eastAsia="宋体" w:cs="宋体"/>
          <w:b/>
          <w:color w:val="auto"/>
          <w:highlight w:val="none"/>
        </w:rPr>
      </w:pPr>
      <w:r>
        <w:rPr>
          <w:rFonts w:hint="eastAsia" w:ascii="宋体" w:hAnsi="宋体" w:eastAsia="宋体" w:cs="宋体"/>
          <w:b/>
          <w:color w:val="auto"/>
          <w:highlight w:val="none"/>
        </w:rPr>
        <w:t>2、商务评审自查表（</w:t>
      </w:r>
      <w:r>
        <w:rPr>
          <w:rFonts w:ascii="宋体" w:hAnsi="宋体" w:eastAsia="宋体" w:cs="宋体"/>
          <w:b/>
          <w:color w:val="auto"/>
          <w:highlight w:val="none"/>
        </w:rPr>
        <w:t>20</w:t>
      </w:r>
      <w:r>
        <w:rPr>
          <w:rFonts w:hint="eastAsia" w:ascii="宋体" w:hAnsi="宋体" w:eastAsia="宋体" w:cs="宋体"/>
          <w:b/>
          <w:color w:val="auto"/>
          <w:highlight w:val="none"/>
        </w:rPr>
        <w:t>分）</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847"/>
        <w:gridCol w:w="6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480" w:lineRule="exact"/>
              <w:jc w:val="center"/>
              <w:rPr>
                <w:rFonts w:ascii="宋体" w:hAnsi="宋体" w:eastAsia="宋体" w:cs="宋体"/>
                <w:b/>
                <w:color w:val="auto"/>
                <w:highlight w:val="none"/>
              </w:rPr>
            </w:pPr>
            <w:r>
              <w:rPr>
                <w:rFonts w:hint="eastAsia" w:ascii="宋体" w:hAnsi="宋体" w:eastAsia="宋体" w:cs="宋体"/>
                <w:b/>
                <w:color w:val="auto"/>
                <w:highlight w:val="none"/>
              </w:rPr>
              <w:t>序号</w:t>
            </w:r>
          </w:p>
        </w:tc>
        <w:tc>
          <w:tcPr>
            <w:tcW w:w="1847" w:type="dxa"/>
          </w:tcPr>
          <w:p>
            <w:pPr>
              <w:spacing w:line="480" w:lineRule="exact"/>
              <w:jc w:val="center"/>
              <w:rPr>
                <w:rFonts w:ascii="宋体" w:hAnsi="宋体" w:eastAsia="宋体" w:cs="宋体"/>
                <w:b/>
                <w:color w:val="auto"/>
                <w:highlight w:val="none"/>
              </w:rPr>
            </w:pPr>
            <w:r>
              <w:rPr>
                <w:rFonts w:hint="eastAsia" w:ascii="宋体" w:hAnsi="宋体" w:eastAsia="宋体" w:cs="宋体"/>
                <w:b/>
                <w:color w:val="auto"/>
                <w:highlight w:val="none"/>
              </w:rPr>
              <w:t>评审因素</w:t>
            </w:r>
          </w:p>
        </w:tc>
        <w:tc>
          <w:tcPr>
            <w:tcW w:w="6403" w:type="dxa"/>
          </w:tcPr>
          <w:p>
            <w:pPr>
              <w:spacing w:line="480" w:lineRule="exact"/>
              <w:jc w:val="center"/>
              <w:rPr>
                <w:rFonts w:ascii="宋体" w:hAnsi="宋体" w:eastAsia="宋体" w:cs="宋体"/>
                <w:b/>
                <w:color w:val="auto"/>
                <w:highlight w:val="none"/>
              </w:rPr>
            </w:pPr>
            <w:r>
              <w:rPr>
                <w:rFonts w:hint="eastAsia" w:ascii="宋体" w:hAnsi="宋体" w:eastAsia="宋体" w:cs="宋体"/>
                <w:b/>
                <w:color w:val="auto"/>
                <w:highlight w:val="none"/>
              </w:rPr>
              <w:t>评审指标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480" w:lineRule="exact"/>
              <w:jc w:val="center"/>
              <w:rPr>
                <w:rFonts w:ascii="宋体" w:hAnsi="宋体" w:eastAsia="宋体" w:cs="宋体"/>
                <w:color w:val="auto"/>
                <w:highlight w:val="none"/>
              </w:rPr>
            </w:pPr>
            <w:r>
              <w:rPr>
                <w:rFonts w:hint="eastAsia" w:ascii="宋体" w:hAnsi="宋体" w:eastAsia="宋体" w:cs="宋体"/>
                <w:color w:val="auto"/>
                <w:highlight w:val="none"/>
              </w:rPr>
              <w:t>1</w:t>
            </w:r>
          </w:p>
        </w:tc>
        <w:tc>
          <w:tcPr>
            <w:tcW w:w="1847" w:type="dxa"/>
            <w:vAlign w:val="center"/>
          </w:tcPr>
          <w:p>
            <w:pPr>
              <w:pStyle w:val="53"/>
              <w:jc w:val="center"/>
              <w:rPr>
                <w:rFonts w:ascii="宋体" w:hAnsi="宋体" w:eastAsia="宋体"/>
                <w:color w:val="auto"/>
                <w:sz w:val="23"/>
                <w:szCs w:val="23"/>
                <w:highlight w:val="none"/>
              </w:rPr>
            </w:pPr>
            <w:r>
              <w:rPr>
                <w:rFonts w:hint="eastAsia" w:ascii="宋体" w:hAnsi="宋体" w:eastAsia="宋体"/>
                <w:color w:val="auto"/>
                <w:sz w:val="23"/>
                <w:szCs w:val="23"/>
                <w:highlight w:val="none"/>
              </w:rPr>
              <w:t>响应</w:t>
            </w:r>
            <w:r>
              <w:rPr>
                <w:rFonts w:hint="eastAsia" w:ascii="宋体" w:hAnsi="宋体" w:eastAsia="宋体"/>
                <w:color w:val="auto"/>
                <w:sz w:val="23"/>
                <w:szCs w:val="23"/>
                <w:highlight w:val="none"/>
                <w:lang w:val="en-US" w:eastAsia="zh-CN"/>
              </w:rPr>
              <w:t>供应商</w:t>
            </w:r>
            <w:r>
              <w:rPr>
                <w:rFonts w:hint="eastAsia" w:ascii="宋体" w:hAnsi="宋体" w:eastAsia="宋体"/>
                <w:color w:val="auto"/>
                <w:sz w:val="23"/>
                <w:szCs w:val="23"/>
                <w:highlight w:val="none"/>
              </w:rPr>
              <w:t>认证情况（</w:t>
            </w:r>
            <w:r>
              <w:rPr>
                <w:rFonts w:ascii="宋体" w:hAnsi="宋体" w:eastAsia="宋体"/>
                <w:color w:val="auto"/>
                <w:sz w:val="23"/>
                <w:szCs w:val="23"/>
                <w:highlight w:val="none"/>
              </w:rPr>
              <w:t>10</w:t>
            </w:r>
            <w:r>
              <w:rPr>
                <w:rFonts w:hint="eastAsia" w:ascii="宋体" w:hAnsi="宋体" w:eastAsia="宋体"/>
                <w:color w:val="auto"/>
                <w:sz w:val="23"/>
                <w:szCs w:val="23"/>
                <w:highlight w:val="none"/>
              </w:rPr>
              <w:t>分）</w:t>
            </w:r>
          </w:p>
          <w:p>
            <w:pPr>
              <w:spacing w:line="480" w:lineRule="exact"/>
              <w:jc w:val="center"/>
              <w:rPr>
                <w:rFonts w:ascii="宋体" w:hAnsi="宋体" w:eastAsia="宋体" w:cs="宋体"/>
                <w:color w:val="auto"/>
                <w:highlight w:val="none"/>
              </w:rPr>
            </w:pPr>
          </w:p>
        </w:tc>
        <w:tc>
          <w:tcPr>
            <w:tcW w:w="6403" w:type="dxa"/>
            <w:vAlign w:val="center"/>
          </w:tcPr>
          <w:p>
            <w:pPr>
              <w:spacing w:line="312"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olor w:val="auto"/>
                <w:sz w:val="23"/>
                <w:szCs w:val="23"/>
                <w:highlight w:val="none"/>
                <w:lang w:val="en-US" w:eastAsia="zh-CN"/>
              </w:rPr>
              <w:t>供应商</w:t>
            </w:r>
            <w:r>
              <w:rPr>
                <w:rFonts w:hint="eastAsia" w:ascii="宋体" w:hAnsi="宋体" w:eastAsia="宋体" w:cs="宋体"/>
                <w:color w:val="auto"/>
                <w:sz w:val="21"/>
                <w:szCs w:val="21"/>
                <w:highlight w:val="none"/>
              </w:rPr>
              <w:t>具有有效期内的ISO9001质量管理体系认证证书，证书认证范围：包括医疗设备维修保养服务。得2分；</w:t>
            </w:r>
          </w:p>
          <w:p>
            <w:pPr>
              <w:spacing w:line="312"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olor w:val="auto"/>
                <w:sz w:val="23"/>
                <w:szCs w:val="23"/>
                <w:highlight w:val="none"/>
                <w:lang w:val="en-US" w:eastAsia="zh-CN"/>
              </w:rPr>
              <w:t>供应商</w:t>
            </w:r>
            <w:r>
              <w:rPr>
                <w:rFonts w:hint="eastAsia" w:ascii="宋体" w:hAnsi="宋体" w:eastAsia="宋体" w:cs="宋体"/>
                <w:color w:val="auto"/>
                <w:sz w:val="21"/>
                <w:szCs w:val="21"/>
                <w:highlight w:val="none"/>
              </w:rPr>
              <w:t>具有有效期内的ISO13485医疗器械质量管理体系认证证书，证书认证范围：包括医疗设备维修保养服务。得2分；</w:t>
            </w:r>
          </w:p>
          <w:p>
            <w:pPr>
              <w:spacing w:line="312"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olor w:val="auto"/>
                <w:sz w:val="23"/>
                <w:szCs w:val="23"/>
                <w:highlight w:val="none"/>
                <w:lang w:val="en-US" w:eastAsia="zh-CN"/>
              </w:rPr>
              <w:t>供应商</w:t>
            </w:r>
            <w:r>
              <w:rPr>
                <w:rFonts w:hint="eastAsia" w:ascii="宋体" w:hAnsi="宋体" w:eastAsia="宋体" w:cs="宋体"/>
                <w:color w:val="auto"/>
                <w:sz w:val="21"/>
                <w:szCs w:val="21"/>
                <w:highlight w:val="none"/>
              </w:rPr>
              <w:t>具有有效期内的ISO14001环境管理体系认证证书。得1分；</w:t>
            </w:r>
          </w:p>
          <w:p>
            <w:pPr>
              <w:spacing w:line="312"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olor w:val="auto"/>
                <w:sz w:val="23"/>
                <w:szCs w:val="23"/>
                <w:highlight w:val="none"/>
                <w:lang w:val="en-US" w:eastAsia="zh-CN"/>
              </w:rPr>
              <w:t>供应商</w:t>
            </w:r>
            <w:r>
              <w:rPr>
                <w:rFonts w:hint="eastAsia" w:ascii="宋体" w:hAnsi="宋体" w:eastAsia="宋体" w:cs="宋体"/>
                <w:color w:val="auto"/>
                <w:sz w:val="21"/>
                <w:szCs w:val="21"/>
                <w:highlight w:val="none"/>
              </w:rPr>
              <w:t>具有有效期内的ISO45001职业健康安全管理体系认证证书。得1分；</w:t>
            </w:r>
          </w:p>
          <w:p>
            <w:pPr>
              <w:spacing w:line="312" w:lineRule="auto"/>
              <w:rPr>
                <w:rFonts w:ascii="宋体" w:hAnsi="宋体" w:eastAsia="宋体" w:cs="宋体"/>
                <w:color w:val="auto"/>
                <w:sz w:val="21"/>
                <w:szCs w:val="21"/>
                <w:highlight w:val="none"/>
              </w:rPr>
            </w:pPr>
            <w:r>
              <w:rPr>
                <w:rFonts w:hint="eastAsia" w:ascii="宋体" w:hAnsi="宋体" w:eastAsia="宋体"/>
                <w:color w:val="auto"/>
                <w:sz w:val="21"/>
                <w:szCs w:val="21"/>
                <w:highlight w:val="none"/>
              </w:rPr>
              <w:t>5、</w:t>
            </w:r>
            <w:r>
              <w:rPr>
                <w:rFonts w:hint="eastAsia" w:ascii="宋体" w:hAnsi="宋体" w:eastAsia="宋体"/>
                <w:color w:val="auto"/>
                <w:sz w:val="23"/>
                <w:szCs w:val="23"/>
                <w:highlight w:val="none"/>
                <w:lang w:val="en-US" w:eastAsia="zh-CN"/>
              </w:rPr>
              <w:t>供应商</w:t>
            </w:r>
            <w:r>
              <w:rPr>
                <w:rFonts w:hint="eastAsia" w:ascii="宋体" w:hAnsi="宋体" w:eastAsia="宋体"/>
                <w:color w:val="auto"/>
                <w:sz w:val="21"/>
                <w:szCs w:val="21"/>
                <w:highlight w:val="none"/>
              </w:rPr>
              <w:t>具有有效的I</w:t>
            </w:r>
            <w:r>
              <w:rPr>
                <w:rFonts w:ascii="宋体" w:hAnsi="宋体" w:eastAsia="宋体"/>
                <w:color w:val="auto"/>
                <w:sz w:val="21"/>
                <w:szCs w:val="21"/>
                <w:highlight w:val="none"/>
              </w:rPr>
              <w:t>SO27001信息安全管理体系认证证书.</w:t>
            </w:r>
            <w:r>
              <w:rPr>
                <w:rFonts w:hint="eastAsia" w:ascii="宋体" w:hAnsi="宋体" w:eastAsia="宋体" w:cs="宋体"/>
                <w:color w:val="auto"/>
                <w:sz w:val="21"/>
                <w:szCs w:val="21"/>
                <w:highlight w:val="none"/>
              </w:rPr>
              <w:t xml:space="preserve"> 证书。得2分；</w:t>
            </w:r>
          </w:p>
          <w:p>
            <w:pPr>
              <w:pStyle w:val="7"/>
              <w:rPr>
                <w:rFonts w:ascii="宋体" w:hAnsi="宋体" w:cs="宋体"/>
                <w:color w:val="auto"/>
                <w:sz w:val="21"/>
                <w:szCs w:val="21"/>
                <w:highlight w:val="none"/>
              </w:rPr>
            </w:pPr>
            <w:r>
              <w:rPr>
                <w:rFonts w:ascii="宋体" w:hAnsi="宋体"/>
                <w:color w:val="auto"/>
                <w:sz w:val="21"/>
                <w:szCs w:val="21"/>
                <w:highlight w:val="none"/>
              </w:rPr>
              <w:t>6</w:t>
            </w:r>
            <w:r>
              <w:rPr>
                <w:rFonts w:hint="eastAsia" w:ascii="宋体" w:hAnsi="宋体"/>
                <w:color w:val="auto"/>
                <w:sz w:val="21"/>
                <w:szCs w:val="21"/>
                <w:highlight w:val="none"/>
              </w:rPr>
              <w:t>、</w:t>
            </w:r>
            <w:r>
              <w:rPr>
                <w:rFonts w:hint="eastAsia" w:ascii="宋体" w:hAnsi="宋体" w:eastAsia="宋体"/>
                <w:color w:val="auto"/>
                <w:sz w:val="23"/>
                <w:szCs w:val="23"/>
                <w:highlight w:val="none"/>
                <w:lang w:val="en-US" w:eastAsia="zh-CN"/>
              </w:rPr>
              <w:t>供应商</w:t>
            </w:r>
            <w:r>
              <w:rPr>
                <w:rFonts w:hint="eastAsia" w:ascii="宋体" w:hAnsi="宋体"/>
                <w:color w:val="auto"/>
                <w:sz w:val="21"/>
                <w:szCs w:val="21"/>
                <w:highlight w:val="none"/>
              </w:rPr>
              <w:t>具有有效的</w:t>
            </w:r>
            <w:r>
              <w:rPr>
                <w:rFonts w:ascii="宋体" w:hAnsi="宋体"/>
                <w:color w:val="auto"/>
                <w:sz w:val="21"/>
                <w:szCs w:val="21"/>
                <w:highlight w:val="none"/>
              </w:rPr>
              <w:t>售后服务认证证书</w:t>
            </w:r>
            <w:r>
              <w:rPr>
                <w:rFonts w:hint="eastAsia" w:ascii="宋体" w:hAnsi="宋体"/>
                <w:color w:val="auto"/>
                <w:sz w:val="21"/>
                <w:szCs w:val="21"/>
                <w:highlight w:val="none"/>
              </w:rPr>
              <w:t>，经评审，服务能力达到：五星。证书覆盖范围：包括医疗设备维修涉及的售后服务（五星）。</w:t>
            </w:r>
            <w:r>
              <w:rPr>
                <w:rFonts w:hint="eastAsia" w:ascii="宋体" w:hAnsi="宋体" w:cs="宋体"/>
                <w:color w:val="auto"/>
                <w:sz w:val="21"/>
                <w:szCs w:val="21"/>
                <w:highlight w:val="none"/>
              </w:rPr>
              <w:t>得2分；</w:t>
            </w:r>
          </w:p>
          <w:p>
            <w:pPr>
              <w:pStyle w:val="10"/>
              <w:tabs>
                <w:tab w:val="clear" w:pos="4153"/>
                <w:tab w:val="clear" w:pos="8306"/>
              </w:tabs>
              <w:snapToGrid/>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文件需提供证书复印件或证书有效性网页截图作为证明材料，否则不得分。证书有效性网页截图以全国认证认可信息公共服务平台http://cx.cnca.cn/网站查询为准，并需加盖</w:t>
            </w:r>
            <w:r>
              <w:rPr>
                <w:rFonts w:hint="eastAsia" w:ascii="宋体" w:hAnsi="宋体" w:eastAsia="宋体"/>
                <w:color w:val="auto"/>
                <w:sz w:val="23"/>
                <w:szCs w:val="23"/>
                <w:highlight w:val="none"/>
                <w:lang w:val="en-US" w:eastAsia="zh-CN"/>
              </w:rPr>
              <w:t>供应商</w:t>
            </w:r>
            <w:r>
              <w:rPr>
                <w:rFonts w:hint="eastAsia" w:ascii="宋体" w:hAnsi="宋体" w:eastAsia="宋体" w:cs="宋体"/>
                <w:color w:val="auto"/>
                <w:sz w:val="21"/>
                <w:szCs w:val="21"/>
                <w:highlight w:val="none"/>
              </w:rPr>
              <w:t>公章。如</w:t>
            </w:r>
            <w:r>
              <w:rPr>
                <w:rFonts w:hint="eastAsia" w:ascii="宋体" w:hAnsi="宋体" w:eastAsia="宋体"/>
                <w:color w:val="auto"/>
                <w:sz w:val="23"/>
                <w:szCs w:val="23"/>
                <w:highlight w:val="none"/>
                <w:lang w:val="en-US" w:eastAsia="zh-CN"/>
              </w:rPr>
              <w:t>供应商</w:t>
            </w:r>
            <w:r>
              <w:rPr>
                <w:rFonts w:hint="eastAsia" w:ascii="宋体" w:hAnsi="宋体" w:eastAsia="宋体" w:cs="宋体"/>
                <w:color w:val="auto"/>
                <w:sz w:val="21"/>
                <w:szCs w:val="21"/>
                <w:highlight w:val="none"/>
              </w:rPr>
              <w:t>为新设立企业，由于成立时间不足三个月原因导致不能获得证书的，相应证书均能得分。）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480" w:lineRule="exact"/>
              <w:jc w:val="center"/>
              <w:rPr>
                <w:rFonts w:ascii="宋体" w:hAnsi="宋体" w:eastAsia="宋体" w:cs="宋体"/>
                <w:color w:val="auto"/>
                <w:highlight w:val="none"/>
              </w:rPr>
            </w:pPr>
            <w:r>
              <w:rPr>
                <w:rFonts w:hint="eastAsia" w:ascii="宋体" w:hAnsi="宋体" w:eastAsia="宋体" w:cs="宋体"/>
                <w:color w:val="auto"/>
                <w:highlight w:val="none"/>
              </w:rPr>
              <w:t>2</w:t>
            </w:r>
          </w:p>
        </w:tc>
        <w:tc>
          <w:tcPr>
            <w:tcW w:w="1847" w:type="dxa"/>
            <w:vAlign w:val="center"/>
          </w:tcPr>
          <w:p>
            <w:pPr>
              <w:spacing w:line="312"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项目业绩</w:t>
            </w:r>
          </w:p>
          <w:p>
            <w:pPr>
              <w:spacing w:line="312"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p>
            <w:pPr>
              <w:spacing w:line="312" w:lineRule="auto"/>
              <w:rPr>
                <w:rFonts w:ascii="宋体" w:hAnsi="宋体" w:eastAsia="宋体" w:cs="宋体"/>
                <w:color w:val="auto"/>
                <w:sz w:val="21"/>
                <w:szCs w:val="21"/>
                <w:highlight w:val="none"/>
              </w:rPr>
            </w:pPr>
          </w:p>
        </w:tc>
        <w:tc>
          <w:tcPr>
            <w:tcW w:w="6403" w:type="dxa"/>
            <w:vAlign w:val="center"/>
          </w:tcPr>
          <w:p>
            <w:pPr>
              <w:spacing w:line="312"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投标人自</w:t>
            </w:r>
            <w:r>
              <w:rPr>
                <w:rFonts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年</w:t>
            </w:r>
            <w:r>
              <w:rPr>
                <w:rFonts w:ascii="宋体" w:hAnsi="宋体" w:eastAsia="宋体" w:cs="宋体"/>
                <w:color w:val="auto"/>
                <w:sz w:val="21"/>
                <w:szCs w:val="21"/>
                <w:highlight w:val="none"/>
              </w:rPr>
              <w:t>1</w:t>
            </w:r>
            <w:r>
              <w:rPr>
                <w:rFonts w:hint="eastAsia" w:ascii="宋体" w:hAnsi="宋体" w:eastAsia="宋体" w:cs="宋体"/>
                <w:color w:val="auto"/>
                <w:sz w:val="21"/>
                <w:szCs w:val="21"/>
                <w:highlight w:val="none"/>
              </w:rPr>
              <w:t>月</w:t>
            </w:r>
            <w:r>
              <w:rPr>
                <w:rFonts w:ascii="宋体" w:hAnsi="宋体" w:eastAsia="宋体" w:cs="宋体"/>
                <w:color w:val="auto"/>
                <w:sz w:val="21"/>
                <w:szCs w:val="21"/>
                <w:highlight w:val="none"/>
              </w:rPr>
              <w:t>1</w:t>
            </w:r>
            <w:r>
              <w:rPr>
                <w:rFonts w:hint="eastAsia" w:ascii="宋体" w:hAnsi="宋体" w:eastAsia="宋体" w:cs="宋体"/>
                <w:color w:val="auto"/>
                <w:sz w:val="21"/>
                <w:szCs w:val="21"/>
                <w:highlight w:val="none"/>
              </w:rPr>
              <w:t>日至今（以合同签订时间为准）具有的同类项目业绩，提供医疗设备保修服务合同，每提供一份业绩得</w:t>
            </w:r>
            <w:r>
              <w:rPr>
                <w:rFonts w:ascii="宋体" w:hAnsi="宋体" w:eastAsia="宋体" w:cs="宋体"/>
                <w:color w:val="auto"/>
                <w:sz w:val="21"/>
                <w:szCs w:val="21"/>
                <w:highlight w:val="none"/>
              </w:rPr>
              <w:t>2</w:t>
            </w:r>
            <w:r>
              <w:rPr>
                <w:rFonts w:hint="eastAsia" w:ascii="宋体" w:hAnsi="宋体" w:eastAsia="宋体" w:cs="宋体"/>
                <w:color w:val="auto"/>
                <w:sz w:val="21"/>
                <w:szCs w:val="21"/>
                <w:highlight w:val="none"/>
              </w:rPr>
              <w:t>分，最高得</w:t>
            </w:r>
            <w:r>
              <w:rPr>
                <w:rFonts w:ascii="宋体" w:hAnsi="宋体" w:eastAsia="宋体" w:cs="宋体"/>
                <w:color w:val="auto"/>
                <w:sz w:val="21"/>
                <w:szCs w:val="21"/>
                <w:highlight w:val="none"/>
              </w:rPr>
              <w:t>10</w:t>
            </w:r>
            <w:r>
              <w:rPr>
                <w:rFonts w:hint="eastAsia" w:ascii="宋体" w:hAnsi="宋体" w:eastAsia="宋体" w:cs="宋体"/>
                <w:color w:val="auto"/>
                <w:sz w:val="21"/>
                <w:szCs w:val="21"/>
                <w:highlight w:val="none"/>
              </w:rPr>
              <w:t>分。</w:t>
            </w:r>
          </w:p>
          <w:p>
            <w:pPr>
              <w:spacing w:line="312"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注：须提供项目业绩合同关键页复印件（必须包含：签约时间、项目名称、双方盖章）。</w:t>
            </w:r>
          </w:p>
        </w:tc>
      </w:tr>
    </w:tbl>
    <w:p>
      <w:pPr>
        <w:rPr>
          <w:rFonts w:ascii="宋体" w:hAnsi="宋体" w:eastAsia="宋体"/>
          <w:color w:val="auto"/>
          <w:highlight w:val="none"/>
        </w:rPr>
      </w:pPr>
    </w:p>
    <w:p>
      <w:pPr>
        <w:rPr>
          <w:rFonts w:ascii="宋体" w:hAnsi="宋体" w:eastAsia="宋体"/>
          <w:color w:val="auto"/>
          <w:highlight w:val="none"/>
        </w:rPr>
      </w:pPr>
    </w:p>
    <w:p>
      <w:pPr>
        <w:numPr>
          <w:ilvl w:val="0"/>
          <w:numId w:val="3"/>
        </w:numPr>
        <w:ind w:left="0" w:leftChars="0" w:firstLine="0" w:firstLineChars="0"/>
        <w:rPr>
          <w:rFonts w:hint="eastAsia" w:ascii="宋体" w:hAnsi="宋体" w:eastAsia="宋体"/>
          <w:color w:val="auto"/>
          <w:highlight w:val="none"/>
        </w:rPr>
      </w:pPr>
      <w:r>
        <w:rPr>
          <w:rFonts w:hint="eastAsia" w:ascii="宋体" w:hAnsi="宋体" w:eastAsia="宋体"/>
          <w:color w:val="auto"/>
          <w:highlight w:val="none"/>
        </w:rPr>
        <w:t>价格</w:t>
      </w:r>
      <w:r>
        <w:rPr>
          <w:rFonts w:hint="eastAsia" w:ascii="宋体" w:hAnsi="宋体" w:eastAsia="宋体"/>
          <w:color w:val="auto"/>
          <w:highlight w:val="none"/>
          <w:lang w:eastAsia="zh-CN"/>
        </w:rPr>
        <w:t>：</w:t>
      </w:r>
      <w:r>
        <w:rPr>
          <w:rFonts w:hint="eastAsia" w:ascii="宋体" w:hAnsi="宋体" w:eastAsia="宋体"/>
          <w:color w:val="auto"/>
          <w:highlight w:val="none"/>
          <w:lang w:val="en-US" w:eastAsia="zh-CN"/>
        </w:rPr>
        <w:t>2</w:t>
      </w:r>
      <w:r>
        <w:rPr>
          <w:rFonts w:hint="eastAsia" w:ascii="宋体" w:hAnsi="宋体" w:eastAsia="宋体"/>
          <w:color w:val="auto"/>
          <w:highlight w:val="none"/>
        </w:rPr>
        <w:t>0分</w:t>
      </w:r>
    </w:p>
    <w:p>
      <w:pPr>
        <w:numPr>
          <w:ilvl w:val="0"/>
          <w:numId w:val="0"/>
        </w:numPr>
        <w:ind w:leftChars="0"/>
        <w:rPr>
          <w:rFonts w:hint="eastAsia" w:ascii="宋体" w:hAnsi="宋体" w:eastAsia="宋体"/>
          <w:color w:val="auto"/>
          <w:highlight w:val="none"/>
        </w:rPr>
      </w:pPr>
      <w:r>
        <w:rPr>
          <w:rFonts w:hint="eastAsia" w:ascii="宋体" w:hAnsi="宋体" w:eastAsia="宋体"/>
          <w:color w:val="auto"/>
          <w:highlight w:val="none"/>
        </w:rPr>
        <w:t>响应报价得分＝（评标基准价/响应报价）×价格分值【注：满足采购需求要求且响应价格最低的响应报价为评标基准价。】</w:t>
      </w:r>
    </w:p>
    <w:sectPr>
      <w:pgSz w:w="11906" w:h="16838"/>
      <w:pgMar w:top="1134" w:right="1191" w:bottom="1134" w:left="1191" w:header="624" w:footer="680" w:gutter="0"/>
      <w:cols w:space="425"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B74292"/>
    <w:multiLevelType w:val="singleLevel"/>
    <w:tmpl w:val="C2B74292"/>
    <w:lvl w:ilvl="0" w:tentative="0">
      <w:start w:val="2"/>
      <w:numFmt w:val="chineseCounting"/>
      <w:suff w:val="nothing"/>
      <w:lvlText w:val="%1、"/>
      <w:lvlJc w:val="left"/>
      <w:rPr>
        <w:rFonts w:hint="eastAsia"/>
      </w:rPr>
    </w:lvl>
  </w:abstractNum>
  <w:abstractNum w:abstractNumId="1">
    <w:nsid w:val="C57D984A"/>
    <w:multiLevelType w:val="singleLevel"/>
    <w:tmpl w:val="C57D984A"/>
    <w:lvl w:ilvl="0" w:tentative="0">
      <w:start w:val="1"/>
      <w:numFmt w:val="decimal"/>
      <w:lvlText w:val="%1."/>
      <w:lvlJc w:val="left"/>
      <w:pPr>
        <w:tabs>
          <w:tab w:val="left" w:pos="312"/>
        </w:tabs>
      </w:pPr>
    </w:lvl>
  </w:abstractNum>
  <w:abstractNum w:abstractNumId="2">
    <w:nsid w:val="EF76F334"/>
    <w:multiLevelType w:val="singleLevel"/>
    <w:tmpl w:val="EF76F334"/>
    <w:lvl w:ilvl="0" w:tentative="0">
      <w:start w:val="7"/>
      <w:numFmt w:val="chineseCounting"/>
      <w:suff w:val="nothing"/>
      <w:lvlText w:val="（%1）"/>
      <w:lvlJc w:val="left"/>
      <w:rPr>
        <w:rFonts w:hint="eastAsia"/>
      </w:rPr>
    </w:lvl>
  </w:abstractNum>
  <w:abstractNum w:abstractNumId="3">
    <w:nsid w:val="37365B22"/>
    <w:multiLevelType w:val="multilevel"/>
    <w:tmpl w:val="37365B22"/>
    <w:lvl w:ilvl="0" w:tentative="0">
      <w:start w:val="1"/>
      <w:numFmt w:val="bullet"/>
      <w:lvlText w:val="⚫"/>
      <w:lvlJc w:val="left"/>
      <w:pPr>
        <w:ind w:left="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4A600276"/>
    <w:multiLevelType w:val="multilevel"/>
    <w:tmpl w:val="4A600276"/>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pStyle w:val="4"/>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1CC"/>
    <w:rsid w:val="00050D38"/>
    <w:rsid w:val="000B28C2"/>
    <w:rsid w:val="000D6720"/>
    <w:rsid w:val="00185A91"/>
    <w:rsid w:val="002235CA"/>
    <w:rsid w:val="00251ABA"/>
    <w:rsid w:val="00277629"/>
    <w:rsid w:val="002C3945"/>
    <w:rsid w:val="002E0433"/>
    <w:rsid w:val="002F1339"/>
    <w:rsid w:val="003417A9"/>
    <w:rsid w:val="00375C78"/>
    <w:rsid w:val="00376D1A"/>
    <w:rsid w:val="00381367"/>
    <w:rsid w:val="0043229A"/>
    <w:rsid w:val="0044548D"/>
    <w:rsid w:val="004873F5"/>
    <w:rsid w:val="00491E9A"/>
    <w:rsid w:val="004A58A5"/>
    <w:rsid w:val="004D5396"/>
    <w:rsid w:val="004F2EDF"/>
    <w:rsid w:val="00551332"/>
    <w:rsid w:val="00554A1A"/>
    <w:rsid w:val="00566473"/>
    <w:rsid w:val="005742EB"/>
    <w:rsid w:val="00574A8E"/>
    <w:rsid w:val="005F68B5"/>
    <w:rsid w:val="00603CEE"/>
    <w:rsid w:val="0064019B"/>
    <w:rsid w:val="00665505"/>
    <w:rsid w:val="00680C90"/>
    <w:rsid w:val="00692333"/>
    <w:rsid w:val="006A0F11"/>
    <w:rsid w:val="006B1566"/>
    <w:rsid w:val="006F335A"/>
    <w:rsid w:val="006F7E19"/>
    <w:rsid w:val="007000E5"/>
    <w:rsid w:val="007562E7"/>
    <w:rsid w:val="00766E1C"/>
    <w:rsid w:val="00767C30"/>
    <w:rsid w:val="00775F88"/>
    <w:rsid w:val="007F70A2"/>
    <w:rsid w:val="00815DEC"/>
    <w:rsid w:val="008427EF"/>
    <w:rsid w:val="008526B2"/>
    <w:rsid w:val="00894DCE"/>
    <w:rsid w:val="008A7722"/>
    <w:rsid w:val="008A7A8F"/>
    <w:rsid w:val="00937F95"/>
    <w:rsid w:val="00944DAB"/>
    <w:rsid w:val="00994051"/>
    <w:rsid w:val="009A10B2"/>
    <w:rsid w:val="009D0A3E"/>
    <w:rsid w:val="009F44E8"/>
    <w:rsid w:val="00A20AD9"/>
    <w:rsid w:val="00A47020"/>
    <w:rsid w:val="00A6219F"/>
    <w:rsid w:val="00A8650C"/>
    <w:rsid w:val="00A92535"/>
    <w:rsid w:val="00AF7611"/>
    <w:rsid w:val="00B06C8A"/>
    <w:rsid w:val="00B646E5"/>
    <w:rsid w:val="00B84BB8"/>
    <w:rsid w:val="00BA1F6F"/>
    <w:rsid w:val="00BC7CB3"/>
    <w:rsid w:val="00BD69FD"/>
    <w:rsid w:val="00BF3FCA"/>
    <w:rsid w:val="00C05C6A"/>
    <w:rsid w:val="00C572CC"/>
    <w:rsid w:val="00C64D93"/>
    <w:rsid w:val="00C96605"/>
    <w:rsid w:val="00CC3EE3"/>
    <w:rsid w:val="00CF72E9"/>
    <w:rsid w:val="00D47185"/>
    <w:rsid w:val="00D541CC"/>
    <w:rsid w:val="00D61BD3"/>
    <w:rsid w:val="00D82CD8"/>
    <w:rsid w:val="00DB1DE9"/>
    <w:rsid w:val="00DE1FC0"/>
    <w:rsid w:val="00E07ADC"/>
    <w:rsid w:val="00E40E5B"/>
    <w:rsid w:val="00E534B9"/>
    <w:rsid w:val="00EB23EA"/>
    <w:rsid w:val="00EC3B73"/>
    <w:rsid w:val="00EC3CD6"/>
    <w:rsid w:val="00EE1D33"/>
    <w:rsid w:val="00F93CE1"/>
    <w:rsid w:val="00FE5809"/>
    <w:rsid w:val="06F537E7"/>
    <w:rsid w:val="07750484"/>
    <w:rsid w:val="07B16864"/>
    <w:rsid w:val="07F7533D"/>
    <w:rsid w:val="084D702F"/>
    <w:rsid w:val="0881050E"/>
    <w:rsid w:val="0C92059B"/>
    <w:rsid w:val="0D2766C4"/>
    <w:rsid w:val="0DC85EB3"/>
    <w:rsid w:val="0F307AB2"/>
    <w:rsid w:val="10E072B6"/>
    <w:rsid w:val="12F6142B"/>
    <w:rsid w:val="131E104A"/>
    <w:rsid w:val="1598373F"/>
    <w:rsid w:val="164B3423"/>
    <w:rsid w:val="16A13043"/>
    <w:rsid w:val="180970F2"/>
    <w:rsid w:val="180E03D6"/>
    <w:rsid w:val="195E6FCA"/>
    <w:rsid w:val="1CEE155F"/>
    <w:rsid w:val="1DB16262"/>
    <w:rsid w:val="1F486985"/>
    <w:rsid w:val="1FEA15B7"/>
    <w:rsid w:val="20967991"/>
    <w:rsid w:val="20E933A0"/>
    <w:rsid w:val="21582E98"/>
    <w:rsid w:val="215C2D88"/>
    <w:rsid w:val="21F2116A"/>
    <w:rsid w:val="22252A70"/>
    <w:rsid w:val="230E3B7B"/>
    <w:rsid w:val="239A32F4"/>
    <w:rsid w:val="2452597D"/>
    <w:rsid w:val="24C61655"/>
    <w:rsid w:val="253018B2"/>
    <w:rsid w:val="25C45C34"/>
    <w:rsid w:val="25EE4682"/>
    <w:rsid w:val="267638A7"/>
    <w:rsid w:val="27C83FC7"/>
    <w:rsid w:val="28A17F82"/>
    <w:rsid w:val="2AE61515"/>
    <w:rsid w:val="2B9059E2"/>
    <w:rsid w:val="2BAA3D0E"/>
    <w:rsid w:val="2C0E6701"/>
    <w:rsid w:val="2CFF066C"/>
    <w:rsid w:val="2D3227EF"/>
    <w:rsid w:val="2D7F34A3"/>
    <w:rsid w:val="2DDF2977"/>
    <w:rsid w:val="2EF53AD4"/>
    <w:rsid w:val="2F171C9D"/>
    <w:rsid w:val="2F3650DA"/>
    <w:rsid w:val="306A5E79"/>
    <w:rsid w:val="33D31514"/>
    <w:rsid w:val="35E27945"/>
    <w:rsid w:val="372B2789"/>
    <w:rsid w:val="397B107A"/>
    <w:rsid w:val="39EF0A9A"/>
    <w:rsid w:val="39F71049"/>
    <w:rsid w:val="3CBE7D84"/>
    <w:rsid w:val="3D0F48FB"/>
    <w:rsid w:val="3EDE7B8A"/>
    <w:rsid w:val="3FC86F40"/>
    <w:rsid w:val="426B25D4"/>
    <w:rsid w:val="42927D51"/>
    <w:rsid w:val="45E650B4"/>
    <w:rsid w:val="46DD0EA4"/>
    <w:rsid w:val="471F1BDF"/>
    <w:rsid w:val="47875E2B"/>
    <w:rsid w:val="48B84099"/>
    <w:rsid w:val="491C63D6"/>
    <w:rsid w:val="495C4A24"/>
    <w:rsid w:val="49D12238"/>
    <w:rsid w:val="4DCA28A4"/>
    <w:rsid w:val="4DD95939"/>
    <w:rsid w:val="503C269F"/>
    <w:rsid w:val="50D2381E"/>
    <w:rsid w:val="51595CED"/>
    <w:rsid w:val="54446FA1"/>
    <w:rsid w:val="553D2817"/>
    <w:rsid w:val="56A33C92"/>
    <w:rsid w:val="586B76C2"/>
    <w:rsid w:val="58B96B20"/>
    <w:rsid w:val="595B4D78"/>
    <w:rsid w:val="5DFB10C9"/>
    <w:rsid w:val="5E174F66"/>
    <w:rsid w:val="5F107E66"/>
    <w:rsid w:val="5F7268F8"/>
    <w:rsid w:val="5F797C86"/>
    <w:rsid w:val="5F9C1BC7"/>
    <w:rsid w:val="62FC39C5"/>
    <w:rsid w:val="63F83144"/>
    <w:rsid w:val="64B27796"/>
    <w:rsid w:val="650B64B9"/>
    <w:rsid w:val="67717495"/>
    <w:rsid w:val="68646FFA"/>
    <w:rsid w:val="68D45F2D"/>
    <w:rsid w:val="69684BE4"/>
    <w:rsid w:val="696E6382"/>
    <w:rsid w:val="6C3F7B62"/>
    <w:rsid w:val="6DA173AB"/>
    <w:rsid w:val="6EEE3C2F"/>
    <w:rsid w:val="70710506"/>
    <w:rsid w:val="71724535"/>
    <w:rsid w:val="721E646B"/>
    <w:rsid w:val="73BA21C4"/>
    <w:rsid w:val="73DD0C90"/>
    <w:rsid w:val="757B75F5"/>
    <w:rsid w:val="77163BB5"/>
    <w:rsid w:val="77822650"/>
    <w:rsid w:val="78A0111E"/>
    <w:rsid w:val="79905287"/>
    <w:rsid w:val="7C214FF0"/>
    <w:rsid w:val="7C570EF7"/>
    <w:rsid w:val="7F054C3B"/>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kern w:val="0"/>
      <w:sz w:val="24"/>
      <w:szCs w:val="24"/>
      <w:lang w:val="en-US" w:eastAsia="zh-CN" w:bidi="ar-SA"/>
    </w:rPr>
  </w:style>
  <w:style w:type="paragraph" w:styleId="2">
    <w:name w:val="heading 1"/>
    <w:basedOn w:val="1"/>
    <w:next w:val="1"/>
    <w:link w:val="55"/>
    <w:qFormat/>
    <w:uiPriority w:val="0"/>
    <w:pPr>
      <w:keepNext/>
      <w:keepLines/>
      <w:widowControl w:val="0"/>
      <w:spacing w:before="340" w:after="330" w:line="578" w:lineRule="auto"/>
      <w:jc w:val="both"/>
      <w:outlineLvl w:val="0"/>
    </w:pPr>
    <w:rPr>
      <w:rFonts w:ascii="等线" w:hAnsi="等线" w:eastAsia="等线"/>
      <w:b/>
      <w:bCs/>
      <w:kern w:val="44"/>
      <w:sz w:val="44"/>
      <w:szCs w:val="44"/>
    </w:rPr>
  </w:style>
  <w:style w:type="paragraph" w:styleId="3">
    <w:name w:val="heading 2"/>
    <w:basedOn w:val="1"/>
    <w:next w:val="1"/>
    <w:link w:val="56"/>
    <w:qFormat/>
    <w:uiPriority w:val="0"/>
    <w:pPr>
      <w:keepNext/>
      <w:keepLines/>
      <w:widowControl w:val="0"/>
      <w:spacing w:before="260" w:after="260" w:line="416" w:lineRule="auto"/>
      <w:jc w:val="both"/>
      <w:outlineLvl w:val="1"/>
    </w:pPr>
    <w:rPr>
      <w:rFonts w:ascii="Arial" w:hAnsi="Arial" w:eastAsia="黑体"/>
      <w:b/>
      <w:bCs/>
      <w:kern w:val="2"/>
      <w:sz w:val="32"/>
      <w:szCs w:val="32"/>
    </w:rPr>
  </w:style>
  <w:style w:type="paragraph" w:styleId="4">
    <w:name w:val="heading 3"/>
    <w:basedOn w:val="1"/>
    <w:next w:val="1"/>
    <w:link w:val="63"/>
    <w:qFormat/>
    <w:uiPriority w:val="0"/>
    <w:pPr>
      <w:keepNext/>
      <w:keepLines/>
      <w:widowControl w:val="0"/>
      <w:numPr>
        <w:ilvl w:val="2"/>
        <w:numId w:val="1"/>
      </w:numPr>
      <w:tabs>
        <w:tab w:val="left" w:pos="2291"/>
      </w:tabs>
      <w:spacing w:before="260" w:after="260" w:line="413" w:lineRule="auto"/>
      <w:jc w:val="both"/>
      <w:outlineLvl w:val="2"/>
    </w:pPr>
    <w:rPr>
      <w:rFonts w:ascii="宋体" w:hAnsi="Times" w:eastAsia="宋体"/>
      <w:b/>
      <w:kern w:val="2"/>
      <w:szCs w:val="20"/>
      <w:lang w:val="zh-CN"/>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51"/>
    <w:qFormat/>
    <w:uiPriority w:val="0"/>
    <w:pPr>
      <w:widowControl w:val="0"/>
      <w:adjustRightInd w:val="0"/>
      <w:spacing w:line="312" w:lineRule="atLeast"/>
      <w:ind w:firstLine="420"/>
      <w:jc w:val="both"/>
      <w:textAlignment w:val="baseline"/>
    </w:pPr>
    <w:rPr>
      <w:rFonts w:eastAsia="宋体" w:asciiTheme="minorHAnsi" w:hAnsiTheme="minorHAnsi" w:cstheme="minorBidi"/>
      <w:kern w:val="2"/>
      <w:sz w:val="21"/>
      <w:szCs w:val="22"/>
    </w:rPr>
  </w:style>
  <w:style w:type="paragraph" w:styleId="6">
    <w:name w:val="annotation text"/>
    <w:basedOn w:val="1"/>
    <w:semiHidden/>
    <w:unhideWhenUsed/>
    <w:qFormat/>
    <w:uiPriority w:val="99"/>
    <w:pPr>
      <w:jc w:val="left"/>
    </w:pPr>
  </w:style>
  <w:style w:type="paragraph" w:styleId="7">
    <w:name w:val="Body Text"/>
    <w:basedOn w:val="1"/>
    <w:link w:val="52"/>
    <w:qFormat/>
    <w:uiPriority w:val="0"/>
    <w:pPr>
      <w:widowControl w:val="0"/>
      <w:tabs>
        <w:tab w:val="left" w:pos="720"/>
      </w:tabs>
      <w:adjustRightInd w:val="0"/>
      <w:spacing w:line="360" w:lineRule="auto"/>
      <w:jc w:val="both"/>
      <w:textAlignment w:val="baseline"/>
    </w:pPr>
    <w:rPr>
      <w:rFonts w:eastAsia="宋体"/>
    </w:rPr>
  </w:style>
  <w:style w:type="paragraph" w:styleId="8">
    <w:name w:val="Body Text Indent"/>
    <w:basedOn w:val="1"/>
    <w:link w:val="67"/>
    <w:semiHidden/>
    <w:unhideWhenUsed/>
    <w:qFormat/>
    <w:uiPriority w:val="99"/>
    <w:pPr>
      <w:widowControl w:val="0"/>
      <w:spacing w:after="120"/>
      <w:ind w:left="420" w:leftChars="200"/>
      <w:jc w:val="both"/>
    </w:pPr>
    <w:rPr>
      <w:rFonts w:ascii="等线" w:hAnsi="等线" w:eastAsia="等线"/>
      <w:kern w:val="2"/>
      <w:sz w:val="21"/>
    </w:rPr>
  </w:style>
  <w:style w:type="paragraph" w:styleId="9">
    <w:name w:val="Plain Text"/>
    <w:basedOn w:val="1"/>
    <w:link w:val="65"/>
    <w:qFormat/>
    <w:uiPriority w:val="0"/>
    <w:pPr>
      <w:widowControl w:val="0"/>
      <w:spacing w:line="360" w:lineRule="auto"/>
      <w:jc w:val="both"/>
    </w:pPr>
    <w:rPr>
      <w:rFonts w:ascii="宋体" w:hAnsi="Courier New" w:eastAsia="宋体"/>
      <w:kern w:val="2"/>
      <w:szCs w:val="21"/>
    </w:rPr>
  </w:style>
  <w:style w:type="paragraph" w:styleId="10">
    <w:name w:val="footer"/>
    <w:basedOn w:val="1"/>
    <w:link w:val="20"/>
    <w:qFormat/>
    <w:uiPriority w:val="0"/>
    <w:pPr>
      <w:tabs>
        <w:tab w:val="center" w:pos="4153"/>
        <w:tab w:val="right" w:pos="8306"/>
      </w:tabs>
      <w:snapToGrid w:val="0"/>
    </w:pPr>
    <w:rPr>
      <w:sz w:val="18"/>
      <w:szCs w:val="18"/>
    </w:rPr>
  </w:style>
  <w:style w:type="paragraph" w:styleId="11">
    <w:name w:val="header"/>
    <w:basedOn w:val="1"/>
    <w:link w:val="19"/>
    <w:qFormat/>
    <w:uiPriority w:val="0"/>
    <w:pPr>
      <w:tabs>
        <w:tab w:val="center" w:pos="4153"/>
        <w:tab w:val="right" w:pos="8306"/>
      </w:tabs>
      <w:snapToGrid w:val="0"/>
      <w:jc w:val="center"/>
    </w:pPr>
    <w:rPr>
      <w:sz w:val="18"/>
      <w:szCs w:val="18"/>
    </w:rPr>
  </w:style>
  <w:style w:type="paragraph" w:styleId="12">
    <w:name w:val="Body Text First Indent"/>
    <w:basedOn w:val="7"/>
    <w:link w:val="66"/>
    <w:semiHidden/>
    <w:unhideWhenUsed/>
    <w:qFormat/>
    <w:uiPriority w:val="99"/>
    <w:pPr>
      <w:tabs>
        <w:tab w:val="clear" w:pos="720"/>
      </w:tabs>
      <w:adjustRightInd/>
      <w:spacing w:after="120" w:line="240" w:lineRule="auto"/>
      <w:ind w:firstLine="420" w:firstLineChars="100"/>
      <w:textAlignment w:val="auto"/>
    </w:pPr>
    <w:rPr>
      <w:rFonts w:ascii="等线" w:hAnsi="等线" w:eastAsia="等线"/>
      <w:kern w:val="2"/>
      <w:sz w:val="21"/>
    </w:rPr>
  </w:style>
  <w:style w:type="paragraph" w:styleId="13">
    <w:name w:val="Body Text First Indent 2"/>
    <w:basedOn w:val="8"/>
    <w:link w:val="68"/>
    <w:semiHidden/>
    <w:unhideWhenUsed/>
    <w:qFormat/>
    <w:uiPriority w:val="99"/>
    <w:pPr>
      <w:ind w:firstLine="420" w:firstLineChars="200"/>
    </w:pPr>
  </w:style>
  <w:style w:type="character" w:styleId="16">
    <w:name w:val="Strong"/>
    <w:basedOn w:val="15"/>
    <w:qFormat/>
    <w:uiPriority w:val="22"/>
    <w:rPr>
      <w:b/>
    </w:rPr>
  </w:style>
  <w:style w:type="character" w:styleId="17">
    <w:name w:val="FollowedHyperlink"/>
    <w:basedOn w:val="15"/>
    <w:semiHidden/>
    <w:unhideWhenUsed/>
    <w:qFormat/>
    <w:uiPriority w:val="99"/>
    <w:rPr>
      <w:color w:val="800080"/>
      <w:u w:val="single"/>
    </w:rPr>
  </w:style>
  <w:style w:type="character" w:styleId="18">
    <w:name w:val="Hyperlink"/>
    <w:basedOn w:val="15"/>
    <w:semiHidden/>
    <w:unhideWhenUsed/>
    <w:qFormat/>
    <w:uiPriority w:val="99"/>
    <w:rPr>
      <w:color w:val="0000FF"/>
      <w:u w:val="single"/>
    </w:rPr>
  </w:style>
  <w:style w:type="character" w:customStyle="1" w:styleId="19">
    <w:name w:val="页眉 字符"/>
    <w:basedOn w:val="15"/>
    <w:link w:val="11"/>
    <w:qFormat/>
    <w:uiPriority w:val="0"/>
    <w:rPr>
      <w:rFonts w:ascii="Times New Roman" w:hAnsi="Times New Roman" w:cs="Times New Roman"/>
      <w:kern w:val="0"/>
      <w:sz w:val="18"/>
      <w:szCs w:val="18"/>
    </w:rPr>
  </w:style>
  <w:style w:type="character" w:customStyle="1" w:styleId="20">
    <w:name w:val="页脚 字符"/>
    <w:basedOn w:val="15"/>
    <w:link w:val="10"/>
    <w:qFormat/>
    <w:uiPriority w:val="0"/>
    <w:rPr>
      <w:rFonts w:ascii="Times New Roman" w:hAnsi="Times New Roman" w:cs="Times New Roman"/>
      <w:kern w:val="0"/>
      <w:sz w:val="18"/>
      <w:szCs w:val="18"/>
    </w:rPr>
  </w:style>
  <w:style w:type="paragraph" w:customStyle="1" w:styleId="21">
    <w:name w:val="msonormal"/>
    <w:basedOn w:val="1"/>
    <w:qFormat/>
    <w:uiPriority w:val="0"/>
    <w:pPr>
      <w:spacing w:before="100" w:beforeAutospacing="1" w:after="100" w:afterAutospacing="1"/>
    </w:pPr>
    <w:rPr>
      <w:rFonts w:ascii="宋体" w:hAnsi="宋体" w:eastAsia="宋体" w:cs="宋体"/>
    </w:rPr>
  </w:style>
  <w:style w:type="paragraph" w:customStyle="1" w:styleId="22">
    <w:name w:val="font5"/>
    <w:basedOn w:val="1"/>
    <w:qFormat/>
    <w:uiPriority w:val="0"/>
    <w:pPr>
      <w:spacing w:before="100" w:beforeAutospacing="1" w:after="100" w:afterAutospacing="1"/>
    </w:pPr>
    <w:rPr>
      <w:rFonts w:ascii="宋体" w:hAnsi="宋体" w:eastAsia="宋体" w:cs="宋体"/>
      <w:sz w:val="18"/>
      <w:szCs w:val="18"/>
    </w:rPr>
  </w:style>
  <w:style w:type="paragraph" w:customStyle="1" w:styleId="23">
    <w:name w:val="font6"/>
    <w:basedOn w:val="1"/>
    <w:qFormat/>
    <w:uiPriority w:val="0"/>
    <w:pPr>
      <w:spacing w:before="100" w:beforeAutospacing="1" w:after="100" w:afterAutospacing="1"/>
    </w:pPr>
    <w:rPr>
      <w:rFonts w:eastAsia="宋体"/>
      <w:color w:val="000000"/>
      <w:sz w:val="20"/>
      <w:szCs w:val="20"/>
    </w:rPr>
  </w:style>
  <w:style w:type="paragraph" w:customStyle="1" w:styleId="24">
    <w:name w:val="font7"/>
    <w:basedOn w:val="1"/>
    <w:qFormat/>
    <w:uiPriority w:val="0"/>
    <w:pPr>
      <w:spacing w:before="100" w:beforeAutospacing="1" w:after="100" w:afterAutospacing="1"/>
    </w:pPr>
    <w:rPr>
      <w:rFonts w:eastAsia="宋体"/>
      <w:sz w:val="20"/>
      <w:szCs w:val="20"/>
    </w:rPr>
  </w:style>
  <w:style w:type="paragraph" w:customStyle="1" w:styleId="25">
    <w:name w:val="xl79"/>
    <w:basedOn w:val="1"/>
    <w:qFormat/>
    <w:uiPriority w:val="0"/>
    <w:pPr>
      <w:spacing w:before="100" w:beforeAutospacing="1" w:after="100" w:afterAutospacing="1"/>
      <w:jc w:val="center"/>
    </w:pPr>
    <w:rPr>
      <w:rFonts w:ascii="宋体" w:hAnsi="宋体" w:eastAsia="宋体" w:cs="宋体"/>
    </w:rPr>
  </w:style>
  <w:style w:type="paragraph" w:customStyle="1" w:styleId="26">
    <w:name w:val="xl80"/>
    <w:basedOn w:val="1"/>
    <w:qFormat/>
    <w:uiPriority w:val="0"/>
    <w:pPr>
      <w:spacing w:before="100" w:beforeAutospacing="1" w:after="100" w:afterAutospacing="1"/>
      <w:jc w:val="center"/>
    </w:pPr>
    <w:rPr>
      <w:rFonts w:ascii="宋体" w:hAnsi="宋体" w:eastAsia="宋体" w:cs="宋体"/>
      <w:color w:val="FF0000"/>
    </w:rPr>
  </w:style>
  <w:style w:type="paragraph" w:customStyle="1" w:styleId="27">
    <w:name w:val="xl81"/>
    <w:basedOn w:val="1"/>
    <w:qFormat/>
    <w:uiPriority w:val="0"/>
    <w:pPr>
      <w:spacing w:before="100" w:beforeAutospacing="1" w:after="100" w:afterAutospacing="1"/>
      <w:jc w:val="center"/>
    </w:pPr>
    <w:rPr>
      <w:rFonts w:ascii="宋体" w:hAnsi="宋体" w:eastAsia="宋体" w:cs="宋体"/>
      <w:b/>
      <w:bCs/>
      <w:color w:val="FF0000"/>
    </w:rPr>
  </w:style>
  <w:style w:type="paragraph" w:customStyle="1" w:styleId="28">
    <w:name w:val="xl82"/>
    <w:basedOn w:val="1"/>
    <w:qFormat/>
    <w:uiPriority w:val="0"/>
    <w:pPr>
      <w:spacing w:before="100" w:beforeAutospacing="1" w:after="100" w:afterAutospacing="1"/>
      <w:jc w:val="center"/>
    </w:pPr>
    <w:rPr>
      <w:rFonts w:ascii="宋体" w:hAnsi="宋体" w:eastAsia="宋体" w:cs="宋体"/>
    </w:rPr>
  </w:style>
  <w:style w:type="paragraph" w:customStyle="1" w:styleId="29">
    <w:name w:val="xl83"/>
    <w:basedOn w:val="1"/>
    <w:qFormat/>
    <w:uiPriority w:val="0"/>
    <w:pPr>
      <w:spacing w:before="100" w:beforeAutospacing="1" w:after="100" w:afterAutospacing="1"/>
      <w:jc w:val="center"/>
    </w:pPr>
    <w:rPr>
      <w:rFonts w:ascii="宋体" w:hAnsi="宋体" w:eastAsia="宋体" w:cs="宋体"/>
    </w:rPr>
  </w:style>
  <w:style w:type="paragraph" w:customStyle="1" w:styleId="30">
    <w:name w:val="xl84"/>
    <w:basedOn w:val="1"/>
    <w:qFormat/>
    <w:uiPriority w:val="0"/>
    <w:pPr>
      <w:spacing w:before="100" w:beforeAutospacing="1" w:after="100" w:afterAutospacing="1"/>
      <w:jc w:val="center"/>
    </w:pPr>
    <w:rPr>
      <w:rFonts w:ascii="宋体" w:hAnsi="宋体" w:eastAsia="宋体" w:cs="宋体"/>
    </w:rPr>
  </w:style>
  <w:style w:type="paragraph" w:customStyle="1" w:styleId="31">
    <w:name w:val="xl8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20"/>
      <w:szCs w:val="20"/>
    </w:rPr>
  </w:style>
  <w:style w:type="paragraph" w:customStyle="1" w:styleId="32">
    <w:name w:val="xl8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sz w:val="20"/>
      <w:szCs w:val="20"/>
    </w:rPr>
  </w:style>
  <w:style w:type="paragraph" w:customStyle="1" w:styleId="33">
    <w:name w:val="xl8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z w:val="20"/>
      <w:szCs w:val="20"/>
    </w:rPr>
  </w:style>
  <w:style w:type="paragraph" w:customStyle="1" w:styleId="34">
    <w:name w:val="xl8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z w:val="20"/>
      <w:szCs w:val="20"/>
    </w:rPr>
  </w:style>
  <w:style w:type="paragraph" w:customStyle="1" w:styleId="35">
    <w:name w:val="xl8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z w:val="20"/>
      <w:szCs w:val="20"/>
    </w:rPr>
  </w:style>
  <w:style w:type="paragraph" w:customStyle="1" w:styleId="36">
    <w:name w:val="xl9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20"/>
      <w:szCs w:val="20"/>
    </w:rPr>
  </w:style>
  <w:style w:type="paragraph" w:customStyle="1" w:styleId="37">
    <w:name w:val="xl9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20"/>
      <w:szCs w:val="20"/>
    </w:rPr>
  </w:style>
  <w:style w:type="paragraph" w:customStyle="1" w:styleId="38">
    <w:name w:val="xl9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sz w:val="20"/>
      <w:szCs w:val="20"/>
    </w:rPr>
  </w:style>
  <w:style w:type="paragraph" w:customStyle="1" w:styleId="39">
    <w:name w:val="xl9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20"/>
      <w:szCs w:val="20"/>
    </w:rPr>
  </w:style>
  <w:style w:type="paragraph" w:customStyle="1" w:styleId="40">
    <w:name w:val="xl9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20"/>
      <w:szCs w:val="20"/>
    </w:rPr>
  </w:style>
  <w:style w:type="paragraph" w:customStyle="1" w:styleId="41">
    <w:name w:val="xl9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20"/>
      <w:szCs w:val="20"/>
    </w:rPr>
  </w:style>
  <w:style w:type="paragraph" w:customStyle="1" w:styleId="42">
    <w:name w:val="xl9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20"/>
      <w:szCs w:val="20"/>
    </w:rPr>
  </w:style>
  <w:style w:type="paragraph" w:customStyle="1" w:styleId="43">
    <w:name w:val="xl9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20"/>
      <w:szCs w:val="20"/>
    </w:rPr>
  </w:style>
  <w:style w:type="paragraph" w:customStyle="1" w:styleId="44">
    <w:name w:val="xl9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20"/>
      <w:szCs w:val="20"/>
    </w:rPr>
  </w:style>
  <w:style w:type="paragraph" w:customStyle="1" w:styleId="45">
    <w:name w:val="xl9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20"/>
      <w:szCs w:val="20"/>
    </w:rPr>
  </w:style>
  <w:style w:type="paragraph" w:customStyle="1" w:styleId="46">
    <w:name w:val="xl10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20"/>
      <w:szCs w:val="20"/>
    </w:rPr>
  </w:style>
  <w:style w:type="paragraph" w:customStyle="1" w:styleId="47">
    <w:name w:val="xl10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20"/>
      <w:szCs w:val="20"/>
    </w:rPr>
  </w:style>
  <w:style w:type="paragraph" w:customStyle="1" w:styleId="48">
    <w:name w:val="xl10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20"/>
      <w:szCs w:val="20"/>
    </w:rPr>
  </w:style>
  <w:style w:type="paragraph" w:customStyle="1" w:styleId="49">
    <w:name w:val="xl10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20"/>
      <w:szCs w:val="20"/>
    </w:rPr>
  </w:style>
  <w:style w:type="paragraph" w:customStyle="1" w:styleId="50">
    <w:name w:val="xl10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20"/>
      <w:szCs w:val="20"/>
    </w:rPr>
  </w:style>
  <w:style w:type="character" w:customStyle="1" w:styleId="51">
    <w:name w:val="正文缩进 字符"/>
    <w:link w:val="5"/>
    <w:qFormat/>
    <w:locked/>
    <w:uiPriority w:val="0"/>
    <w:rPr>
      <w:rFonts w:eastAsia="宋体"/>
    </w:rPr>
  </w:style>
  <w:style w:type="character" w:customStyle="1" w:styleId="52">
    <w:name w:val="正文文本 字符"/>
    <w:basedOn w:val="15"/>
    <w:link w:val="7"/>
    <w:qFormat/>
    <w:uiPriority w:val="0"/>
    <w:rPr>
      <w:rFonts w:ascii="Times New Roman" w:hAnsi="Times New Roman" w:eastAsia="宋体" w:cs="Times New Roman"/>
      <w:kern w:val="0"/>
      <w:sz w:val="24"/>
      <w:szCs w:val="24"/>
    </w:rPr>
  </w:style>
  <w:style w:type="paragraph" w:customStyle="1" w:styleId="53">
    <w:name w:val="Default"/>
    <w:qFormat/>
    <w:uiPriority w:val="0"/>
    <w:pPr>
      <w:widowControl w:val="0"/>
      <w:autoSpaceDE w:val="0"/>
      <w:autoSpaceDN w:val="0"/>
      <w:adjustRightInd w:val="0"/>
    </w:pPr>
    <w:rPr>
      <w:rFonts w:ascii="黑体" w:hAnsi="Times New Roman" w:eastAsia="黑体" w:cs="黑体"/>
      <w:color w:val="000000"/>
      <w:kern w:val="0"/>
      <w:sz w:val="24"/>
      <w:szCs w:val="24"/>
      <w:lang w:val="en-US" w:eastAsia="zh-CN" w:bidi="ar-SA"/>
    </w:rPr>
  </w:style>
  <w:style w:type="paragraph" w:styleId="54">
    <w:name w:val="List Paragraph"/>
    <w:basedOn w:val="1"/>
    <w:qFormat/>
    <w:uiPriority w:val="99"/>
    <w:pPr>
      <w:ind w:firstLine="420" w:firstLineChars="200"/>
    </w:pPr>
  </w:style>
  <w:style w:type="character" w:customStyle="1" w:styleId="55">
    <w:name w:val="标题 1 字符"/>
    <w:basedOn w:val="15"/>
    <w:link w:val="2"/>
    <w:qFormat/>
    <w:uiPriority w:val="0"/>
    <w:rPr>
      <w:rFonts w:ascii="等线" w:hAnsi="等线" w:eastAsia="等线" w:cs="Times New Roman"/>
      <w:b/>
      <w:bCs/>
      <w:kern w:val="44"/>
      <w:sz w:val="44"/>
      <w:szCs w:val="44"/>
    </w:rPr>
  </w:style>
  <w:style w:type="character" w:customStyle="1" w:styleId="56">
    <w:name w:val="标题 2 字符"/>
    <w:basedOn w:val="15"/>
    <w:link w:val="3"/>
    <w:qFormat/>
    <w:uiPriority w:val="0"/>
    <w:rPr>
      <w:rFonts w:ascii="Arial" w:hAnsi="Arial" w:eastAsia="黑体" w:cs="Times New Roman"/>
      <w:b/>
      <w:bCs/>
      <w:sz w:val="32"/>
      <w:szCs w:val="32"/>
    </w:rPr>
  </w:style>
  <w:style w:type="character" w:customStyle="1" w:styleId="57">
    <w:name w:val="标题 3 字符"/>
    <w:basedOn w:val="15"/>
    <w:semiHidden/>
    <w:qFormat/>
    <w:uiPriority w:val="9"/>
    <w:rPr>
      <w:rFonts w:ascii="Times New Roman" w:hAnsi="Times New Roman" w:cs="Times New Roman"/>
      <w:b/>
      <w:bCs/>
      <w:kern w:val="0"/>
      <w:sz w:val="32"/>
      <w:szCs w:val="32"/>
    </w:rPr>
  </w:style>
  <w:style w:type="paragraph" w:customStyle="1" w:styleId="58">
    <w:name w:val="TOC Heading"/>
    <w:basedOn w:val="2"/>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59">
    <w:name w:val="表格文字"/>
    <w:basedOn w:val="1"/>
    <w:link w:val="60"/>
    <w:qFormat/>
    <w:uiPriority w:val="0"/>
    <w:pPr>
      <w:widowControl w:val="0"/>
      <w:spacing w:before="25" w:after="25" w:line="300" w:lineRule="auto"/>
      <w:jc w:val="both"/>
    </w:pPr>
    <w:rPr>
      <w:rFonts w:ascii="Times" w:hAnsi="Times" w:eastAsia="宋体"/>
      <w:spacing w:val="10"/>
      <w:szCs w:val="20"/>
    </w:rPr>
  </w:style>
  <w:style w:type="character" w:customStyle="1" w:styleId="60">
    <w:name w:val="表格文字 Char Char"/>
    <w:link w:val="59"/>
    <w:qFormat/>
    <w:uiPriority w:val="0"/>
    <w:rPr>
      <w:rFonts w:ascii="Times" w:hAnsi="Times" w:eastAsia="宋体" w:cs="Times New Roman"/>
      <w:spacing w:val="10"/>
      <w:kern w:val="0"/>
      <w:sz w:val="24"/>
      <w:szCs w:val="20"/>
    </w:rPr>
  </w:style>
  <w:style w:type="paragraph" w:customStyle="1" w:styleId="61">
    <w:name w:val="Table Paragraph"/>
    <w:basedOn w:val="1"/>
    <w:qFormat/>
    <w:uiPriority w:val="1"/>
    <w:pPr>
      <w:widowControl w:val="0"/>
      <w:autoSpaceDE w:val="0"/>
      <w:autoSpaceDN w:val="0"/>
    </w:pPr>
    <w:rPr>
      <w:rFonts w:ascii="宋体" w:hAnsi="宋体" w:eastAsia="宋体" w:cs="宋体"/>
      <w:sz w:val="22"/>
      <w:szCs w:val="22"/>
      <w:lang w:val="zh-CN" w:bidi="zh-CN"/>
    </w:rPr>
  </w:style>
  <w:style w:type="character" w:customStyle="1" w:styleId="62">
    <w:name w:val="标题 1 字符1"/>
    <w:qFormat/>
    <w:uiPriority w:val="0"/>
    <w:rPr>
      <w:rFonts w:ascii="Times New Roman" w:hAnsi="Times New Roman"/>
      <w:b/>
      <w:kern w:val="44"/>
      <w:sz w:val="32"/>
    </w:rPr>
  </w:style>
  <w:style w:type="character" w:customStyle="1" w:styleId="63">
    <w:name w:val="标题 3 字符1"/>
    <w:link w:val="4"/>
    <w:qFormat/>
    <w:uiPriority w:val="0"/>
    <w:rPr>
      <w:rFonts w:ascii="宋体" w:hAnsi="Times" w:eastAsia="宋体" w:cs="Times New Roman"/>
      <w:b/>
      <w:sz w:val="24"/>
      <w:szCs w:val="20"/>
      <w:lang w:val="zh-CN"/>
    </w:rPr>
  </w:style>
  <w:style w:type="character" w:customStyle="1" w:styleId="64">
    <w:name w:val="纯文本 字符"/>
    <w:basedOn w:val="15"/>
    <w:semiHidden/>
    <w:qFormat/>
    <w:uiPriority w:val="99"/>
    <w:rPr>
      <w:rFonts w:hAnsi="Courier New" w:cs="Courier New" w:asciiTheme="minorEastAsia"/>
      <w:kern w:val="0"/>
      <w:sz w:val="24"/>
      <w:szCs w:val="24"/>
    </w:rPr>
  </w:style>
  <w:style w:type="character" w:customStyle="1" w:styleId="65">
    <w:name w:val="纯文本 字符1"/>
    <w:link w:val="9"/>
    <w:qFormat/>
    <w:uiPriority w:val="0"/>
    <w:rPr>
      <w:rFonts w:ascii="宋体" w:hAnsi="Courier New" w:eastAsia="宋体" w:cs="Times New Roman"/>
      <w:sz w:val="24"/>
      <w:szCs w:val="21"/>
    </w:rPr>
  </w:style>
  <w:style w:type="character" w:customStyle="1" w:styleId="66">
    <w:name w:val="正文文本首行缩进 字符"/>
    <w:basedOn w:val="52"/>
    <w:link w:val="12"/>
    <w:semiHidden/>
    <w:qFormat/>
    <w:uiPriority w:val="99"/>
    <w:rPr>
      <w:rFonts w:ascii="等线" w:hAnsi="等线" w:eastAsia="等线" w:cs="Times New Roman"/>
      <w:kern w:val="0"/>
      <w:sz w:val="24"/>
      <w:szCs w:val="24"/>
    </w:rPr>
  </w:style>
  <w:style w:type="character" w:customStyle="1" w:styleId="67">
    <w:name w:val="正文文本缩进 字符"/>
    <w:basedOn w:val="15"/>
    <w:link w:val="8"/>
    <w:semiHidden/>
    <w:qFormat/>
    <w:uiPriority w:val="99"/>
    <w:rPr>
      <w:rFonts w:ascii="等线" w:hAnsi="等线" w:eastAsia="等线" w:cs="Times New Roman"/>
      <w:szCs w:val="24"/>
    </w:rPr>
  </w:style>
  <w:style w:type="character" w:customStyle="1" w:styleId="68">
    <w:name w:val="正文文本首行缩进 2 字符"/>
    <w:basedOn w:val="67"/>
    <w:link w:val="13"/>
    <w:semiHidden/>
    <w:qFormat/>
    <w:uiPriority w:val="99"/>
    <w:rPr>
      <w:rFonts w:ascii="等线" w:hAnsi="等线" w:eastAsia="等线" w:cs="Times New Roman"/>
      <w:szCs w:val="24"/>
    </w:rPr>
  </w:style>
  <w:style w:type="paragraph" w:customStyle="1" w:styleId="69">
    <w:name w:val="列出段落1"/>
    <w:basedOn w:val="1"/>
    <w:link w:val="70"/>
    <w:qFormat/>
    <w:uiPriority w:val="0"/>
    <w:pPr>
      <w:widowControl w:val="0"/>
      <w:ind w:firstLine="420" w:firstLineChars="200"/>
      <w:jc w:val="both"/>
    </w:pPr>
    <w:rPr>
      <w:rFonts w:ascii="Calibri" w:hAnsi="Calibri" w:eastAsia="宋体"/>
      <w:kern w:val="2"/>
      <w:sz w:val="21"/>
      <w:szCs w:val="22"/>
    </w:rPr>
  </w:style>
  <w:style w:type="character" w:customStyle="1" w:styleId="70">
    <w:name w:val="列出段落字符"/>
    <w:link w:val="69"/>
    <w:qFormat/>
    <w:uiPriority w:val="0"/>
    <w:rPr>
      <w:rFonts w:ascii="Calibri" w:hAnsi="Calibri" w:eastAsia="宋体" w:cs="Times New Roman"/>
    </w:rPr>
  </w:style>
  <w:style w:type="paragraph" w:customStyle="1" w:styleId="71">
    <w:name w:val="null3"/>
    <w:qFormat/>
    <w:uiPriority w:val="0"/>
    <w:rPr>
      <w:rFonts w:hint="eastAsia" w:ascii="Calibri" w:hAnsi="Calibri" w:eastAsia="宋体" w:cs="Times New Roman"/>
      <w:kern w:val="0"/>
      <w:sz w:val="20"/>
      <w:szCs w:val="2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Pages>
  <Words>4131</Words>
  <Characters>4252</Characters>
  <Lines>31</Lines>
  <Paragraphs>8</Paragraphs>
  <TotalTime>23</TotalTime>
  <ScaleCrop>false</ScaleCrop>
  <LinksUpToDate>false</LinksUpToDate>
  <CharactersWithSpaces>4294</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2026-03-23T07:40:00Z</dcterms:created>
  <dc:creator>xinhong du</dc:creator>
  <cp:lastModifiedBy>办公室</cp:lastModifiedBy>
  <cp:lastPrinted>2026-03-26T04:13:00Z</cp:lastPrinted>
  <dcterms:modified xsi:type="dcterms:W3CDTF">2026-04-15T09:39:55Z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eyJoZGlkIjoiOGMxYjYwMzY3ZWQ1YjBjNjJmYmI2YjY2YjNiNGIyY2YiLCJ1c2VySWQiOiI4MDk4NDA5MjgifQ==</vt:lpwstr>
  </property>
  <property fmtid="{D5CDD505-2E9C-101B-9397-08002B2CF9AE}" pid="3" name="KSOProductBuildVer">
    <vt:lpwstr>2052-11.8.2.8875</vt:lpwstr>
  </property>
  <property fmtid="{D5CDD505-2E9C-101B-9397-08002B2CF9AE}" pid="4" name="ICV">
    <vt:lpwstr>C54A15417331475F88E11B091B74879B_13</vt:lpwstr>
  </property>
</Properties>
</file>