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jc w:val="center"/>
        <w:outlineLvl w:val="2"/>
        <w:rPr>
          <w:rFonts w:ascii="黑体" w:hAnsi="宋体" w:eastAsia="黑体" w:cs="宋体"/>
          <w:color w:val="FF000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sz w:val="28"/>
          <w:szCs w:val="28"/>
        </w:rPr>
        <w:t>综合评分表</w:t>
      </w:r>
    </w:p>
    <w:bookmarkEnd w:id="0"/>
    <w:tbl>
      <w:tblPr>
        <w:tblStyle w:val="2"/>
        <w:tblW w:w="894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1598"/>
        <w:gridCol w:w="5110"/>
        <w:gridCol w:w="709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59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51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评分细则</w:t>
            </w:r>
          </w:p>
        </w:tc>
        <w:tc>
          <w:tcPr>
            <w:tcW w:w="70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权重（%）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一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54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项目实施方案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根据供应商提供的实施方案（包括但不限于：对本项目的熟悉程度；实施计划；实施措施等）进行评审：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1.项目实施方案详尽，可行性高，得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2.项目实施方案较详尽，可行性较高，得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3.项目实施方案不够详尽，可行性较低，得3分；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质量保证措施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根据供应商提供的质量保证措施方案（包括但不限于：质量控制制度、质量保障措施、质量实施计划）进行评审：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1.质量保证措施方案详细、可行性高，得1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2.质量保证措施方案较详细、可行性较高，得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3.质量保证措施方案不够详细、可行性较低，得3分；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施工安全保障措施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根据供应商提供的施工安全保障措施（包括但不限于：安全保障实施内容；具体安排计划等）进行评审：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1.施工安全保障措施方案详细、可行性高，得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2.施工安全保障措施方案较详细、可行性较高，得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3.施工安全保障措施方案不够详细、可行性较低，得3分；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应急方案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根据供应商提供的应急方案（包括但不限于：突发事件的处理措施应急预案；针对维保过程中可能出现的安全风险等）进行评审：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1.应急方案详细、可行性高，得1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2.应急方案较详细、可行性较高，得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3.应急方案不够详细、可行性较低，得3分；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售后服务方案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根据供应商提供的售后服务方案（包括但不限于：售后服务承诺、售后服务人员配备、售后便利性等）进行评审：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1.售后服务方案详细、可行性高，得1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2.售后服务方案较详细、可行性较高，得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3.售后服务方案不够详细、可行性较低，得3分；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二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16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ind w:left="-63" w:leftChars="-30" w:right="-88" w:rightChars="-4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同类项目业绩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根据供应商</w:t>
            </w:r>
            <w:r>
              <w:rPr>
                <w:rFonts w:hint="eastAsia" w:ascii="宋体" w:hAnsi="宋体"/>
                <w:lang w:val="en-US" w:eastAsia="zh-CN"/>
              </w:rPr>
              <w:t>2020年度至今的合同，</w:t>
            </w:r>
            <w:r>
              <w:rPr>
                <w:rFonts w:hint="eastAsia" w:ascii="宋体" w:hAnsi="宋体"/>
              </w:rPr>
              <w:t>每提供一项得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</w:rPr>
              <w:t>无或其它不得分。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管理体系认证</w:t>
            </w:r>
          </w:p>
        </w:tc>
        <w:tc>
          <w:tcPr>
            <w:tcW w:w="511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供应商获得质量管理体系认证、环境管理体系认证和职业健康安全管理体系认证的情况</w:t>
            </w:r>
            <w:r>
              <w:rPr>
                <w:rFonts w:hint="eastAsia" w:ascii="宋体" w:hAnsi="宋体" w:cs="宋体"/>
                <w:lang w:eastAsia="zh-CN"/>
              </w:rPr>
              <w:t>及其他征信认证证书：</w:t>
            </w:r>
            <w:r>
              <w:rPr>
                <w:rFonts w:hint="eastAsia" w:ascii="宋体" w:hAnsi="宋体"/>
              </w:rPr>
              <w:t>具有其中任一项得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分，没有或不提供得0分。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三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30分）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投标报价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价格分</w:t>
            </w:r>
            <w:r>
              <w:rPr>
                <w:rFonts w:hint="eastAsia" w:ascii="宋体" w:hAnsi="宋体" w:cs="宋体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</w:rPr>
              <w:t>投标报价得分=(评标基准价／投标报价)×100×价格权重。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738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100%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36"/>
    <w:multiLevelType w:val="multilevel"/>
    <w:tmpl w:val="4BDA1C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4F7702C"/>
    <w:multiLevelType w:val="multilevel"/>
    <w:tmpl w:val="74F7702C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779"/>
    <w:rsid w:val="105273AC"/>
    <w:rsid w:val="13A86779"/>
    <w:rsid w:val="1A171566"/>
    <w:rsid w:val="1F1A4EF4"/>
    <w:rsid w:val="25C30B01"/>
    <w:rsid w:val="25D65EDB"/>
    <w:rsid w:val="26222A03"/>
    <w:rsid w:val="315D3463"/>
    <w:rsid w:val="3AD91B6C"/>
    <w:rsid w:val="3E2442CB"/>
    <w:rsid w:val="44B714FA"/>
    <w:rsid w:val="49D52979"/>
    <w:rsid w:val="4B577D0E"/>
    <w:rsid w:val="4D356577"/>
    <w:rsid w:val="4E911429"/>
    <w:rsid w:val="51652EBF"/>
    <w:rsid w:val="5A245037"/>
    <w:rsid w:val="5C4B079D"/>
    <w:rsid w:val="5C741B35"/>
    <w:rsid w:val="617311B6"/>
    <w:rsid w:val="62D17124"/>
    <w:rsid w:val="689B1862"/>
    <w:rsid w:val="6E4D2ECF"/>
    <w:rsid w:val="6EE937B5"/>
    <w:rsid w:val="72454816"/>
    <w:rsid w:val="733E2E3A"/>
    <w:rsid w:val="77941691"/>
    <w:rsid w:val="7A9456C6"/>
    <w:rsid w:val="7C36314C"/>
    <w:rsid w:val="7DA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Administrator</dc:creator>
  <cp:lastModifiedBy>Administrator</cp:lastModifiedBy>
  <dcterms:modified xsi:type="dcterms:W3CDTF">2023-10-27T00:52:58Z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