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rightChars="0" w:firstLine="643" w:firstLineChars="200"/>
        <w:jc w:val="center"/>
        <w:textAlignment w:val="auto"/>
        <w:rPr>
          <w:rFonts w:hint="eastAsia" w:asciiTheme="minorEastAsia" w:hAnsiTheme="minorEastAsia" w:eastAsiaTheme="minorEastAsia" w:cstheme="minorEastAsia"/>
          <w:b/>
          <w:i w:val="0"/>
          <w:caps w:val="0"/>
          <w:color w:val="0D0D0D"/>
          <w:spacing w:val="0"/>
          <w:sz w:val="32"/>
          <w:szCs w:val="32"/>
          <w:lang w:eastAsia="zh-CN"/>
        </w:rPr>
      </w:pPr>
      <w:r>
        <w:rPr>
          <w:rFonts w:hint="eastAsia" w:asciiTheme="minorEastAsia" w:hAnsiTheme="minorEastAsia" w:eastAsiaTheme="minorEastAsia" w:cstheme="minorEastAsia"/>
          <w:b/>
          <w:i w:val="0"/>
          <w:caps w:val="0"/>
          <w:color w:val="0D0D0D"/>
          <w:spacing w:val="0"/>
          <w:sz w:val="32"/>
          <w:szCs w:val="32"/>
          <w:shd w:val="clear" w:fill="FFFFFF"/>
          <w:lang w:eastAsia="zh-CN"/>
        </w:rPr>
        <w:t>广州市天河区中医医院法律服务采购项目采购需求书</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一、项目名称</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广州市天河区中医医院法律服务采购项目 </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二、项目期限</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本项目服务周期为</w:t>
      </w:r>
      <w:r>
        <w:rPr>
          <w:rFonts w:hint="eastAsia" w:ascii="宋体" w:hAnsi="宋体" w:eastAsia="宋体" w:cs="宋体"/>
          <w:sz w:val="21"/>
          <w:szCs w:val="21"/>
          <w:lang w:val="en-US" w:eastAsia="zh-CN"/>
        </w:rPr>
        <w:t>一</w:t>
      </w:r>
      <w:r>
        <w:rPr>
          <w:rFonts w:hint="eastAsia" w:ascii="宋体" w:hAnsi="宋体" w:eastAsia="宋体" w:cs="宋体"/>
          <w:sz w:val="21"/>
          <w:szCs w:val="21"/>
        </w:rPr>
        <w:t xml:space="preserve">年，自合同生效之日起计算。 </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三、项目背景与概况</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随着医院业务范围的持续扩展、医疗服务需求的多元化发展以及法律法规环境的动态变化，医院在运营过程中面临的法律事务日益复杂。为深入推进法治医院建设，切实维护医院合法权益，有效防范法律风险，规范内部管理流程，确保医院各项工作依法依规开展，</w:t>
      </w:r>
      <w:r>
        <w:rPr>
          <w:rFonts w:hint="eastAsia" w:ascii="宋体" w:hAnsi="宋体" w:eastAsia="宋体" w:cs="宋体"/>
          <w:sz w:val="21"/>
          <w:szCs w:val="21"/>
          <w:lang w:val="en-US" w:eastAsia="zh-CN"/>
        </w:rPr>
        <w:t>现对医院法律服务项目进行院内比选，欢迎符合条件的供应商报名，特此公告。</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四、服务内容</w:t>
      </w:r>
      <w:r>
        <w:rPr>
          <w:rFonts w:hint="eastAsia" w:ascii="宋体" w:hAnsi="宋体" w:eastAsia="宋体" w:cs="宋体"/>
          <w:sz w:val="21"/>
          <w:szCs w:val="21"/>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咨询与审查类服务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sz w:val="21"/>
          <w:szCs w:val="21"/>
        </w:rPr>
        <w:t>法律咨询</w:t>
      </w:r>
      <w:r>
        <w:rPr>
          <w:rFonts w:hint="eastAsia" w:ascii="宋体" w:hAnsi="宋体" w:eastAsia="宋体" w:cs="宋体"/>
          <w:sz w:val="21"/>
          <w:szCs w:val="21"/>
        </w:rPr>
        <w:t xml:space="preserve"> </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为医院重大经营决策提供法律支持，针对决策中的合法性、可行性及风险性等问题出具法律意见书。 </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就医院日常业务（包括但不限于工商、税务、人事劳资、采购、基建、环保、医疗业务等）涉及的法律问题提供专业咨询，依法提出建议或出具法律意见书，确保医院经营活动合法合规。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
          <w:sz w:val="21"/>
          <w:szCs w:val="21"/>
        </w:rPr>
        <w:t>文件起草与审查</w:t>
      </w:r>
      <w:r>
        <w:rPr>
          <w:rFonts w:hint="eastAsia" w:ascii="宋体" w:hAnsi="宋体" w:eastAsia="宋体" w:cs="宋体"/>
          <w:sz w:val="21"/>
          <w:szCs w:val="21"/>
        </w:rPr>
        <w:t xml:space="preserve"> </w:t>
      </w:r>
    </w:p>
    <w:p>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根据医院要求，起草及审查医院拟签订的各类合同、对外发布的具有法律约束力或承担义务的文件，包括但不限于合作协议、备忘录、招标投标文件、采购合同、公告、公示、声明及法律意见书等，必要时出具法律审查意见书。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
          <w:sz w:val="21"/>
          <w:szCs w:val="21"/>
        </w:rPr>
        <w:t>制度审查</w:t>
      </w:r>
      <w:r>
        <w:rPr>
          <w:rFonts w:hint="eastAsia" w:ascii="宋体" w:hAnsi="宋体" w:eastAsia="宋体" w:cs="宋体"/>
          <w:sz w:val="21"/>
          <w:szCs w:val="21"/>
        </w:rPr>
        <w:t xml:space="preserve">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对医院制定的内部章程、奖惩方案、授权体系、印信管理、档案管理、合同管理、保密制度、内控制度等内部规章制度进行合法性审查，并提出法律审查意见和建议，协助医院完善制度建设。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谈判与纠纷处理类服务</w:t>
      </w:r>
      <w:r>
        <w:rPr>
          <w:rFonts w:hint="eastAsia" w:ascii="宋体" w:hAnsi="宋体" w:eastAsia="宋体" w:cs="宋体"/>
          <w:b/>
          <w:sz w:val="21"/>
          <w:szCs w:val="21"/>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sz w:val="21"/>
          <w:szCs w:val="21"/>
        </w:rPr>
        <w:t>磋商谈判</w:t>
      </w:r>
      <w:r>
        <w:rPr>
          <w:rFonts w:hint="eastAsia" w:ascii="宋体" w:hAnsi="宋体" w:eastAsia="宋体" w:cs="宋体"/>
          <w:sz w:val="21"/>
          <w:szCs w:val="21"/>
        </w:rPr>
        <w:t xml:space="preserve"> </w:t>
      </w:r>
    </w:p>
    <w:p>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根据医院要求，参与或代表医院出席经济项目（如政府采购）、对外交流或合作项目的会谈、磋商、谈判，进行法律分析、风险评估及方案论证，为决策提供法律依据并出具法律意见书。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
          <w:sz w:val="21"/>
          <w:szCs w:val="21"/>
        </w:rPr>
        <w:t>质询与投诉处理</w:t>
      </w:r>
      <w:r>
        <w:rPr>
          <w:rFonts w:hint="eastAsia" w:ascii="宋体" w:hAnsi="宋体" w:eastAsia="宋体" w:cs="宋体"/>
          <w:sz w:val="21"/>
          <w:szCs w:val="21"/>
        </w:rPr>
        <w:t xml:space="preserve"> </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协助医院处理业务活动中收到的政府及公检法机关来函，以及供应商或其他合作单位的质询、投诉。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
          <w:sz w:val="21"/>
          <w:szCs w:val="21"/>
        </w:rPr>
        <w:t>非诉纠纷处理</w:t>
      </w:r>
      <w:r>
        <w:rPr>
          <w:rFonts w:hint="eastAsia" w:ascii="宋体" w:hAnsi="宋体" w:eastAsia="宋体" w:cs="宋体"/>
          <w:sz w:val="21"/>
          <w:szCs w:val="21"/>
        </w:rPr>
        <w:t xml:space="preserve"> </w:t>
      </w:r>
    </w:p>
    <w:p>
      <w:pPr>
        <w:keepNext w:val="0"/>
        <w:keepLines w:val="0"/>
        <w:pageBreakBefore w:val="0"/>
        <w:widowControl w:val="0"/>
        <w:numPr>
          <w:ilvl w:val="1"/>
          <w:numId w:val="8"/>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就医院在业务活动及内部管理中已面临或可能发生的各类纠纷，及时提供咨询意见或建议，进行法律论证，提出解决方案。在不违背律师执业利益冲突原则的前提下，对相关对象发出律师函、建议函，或参与非诉讼谈判、协调、调解。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
          <w:sz w:val="21"/>
          <w:szCs w:val="21"/>
        </w:rPr>
        <w:t>舆情处理</w:t>
      </w:r>
      <w:r>
        <w:rPr>
          <w:rFonts w:hint="eastAsia" w:ascii="宋体" w:hAnsi="宋体" w:eastAsia="宋体" w:cs="宋体"/>
          <w:sz w:val="21"/>
          <w:szCs w:val="21"/>
        </w:rPr>
        <w:t xml:space="preserve"> </w:t>
      </w:r>
    </w:p>
    <w:p>
      <w:pPr>
        <w:keepNext w:val="0"/>
        <w:keepLines w:val="0"/>
        <w:pageBreakBefore w:val="0"/>
        <w:widowControl w:val="0"/>
        <w:numPr>
          <w:ilvl w:val="1"/>
          <w:numId w:val="9"/>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针对医院发生的重大危机或具有较大社会影响的事件，提出紧急处置方案。经医院授权，代表医院发布律师声明，澄清事实，表明立场，维护医院公众形象。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培训类服务</w:t>
      </w:r>
      <w:r>
        <w:rPr>
          <w:rFonts w:hint="eastAsia" w:ascii="宋体" w:hAnsi="宋体" w:eastAsia="宋体" w:cs="宋体"/>
          <w:sz w:val="21"/>
          <w:szCs w:val="21"/>
        </w:rPr>
        <w:t xml:space="preserve"> </w:t>
      </w:r>
    </w:p>
    <w:p>
      <w:pPr>
        <w:keepNext w:val="0"/>
        <w:keepLines w:val="0"/>
        <w:pageBreakBefore w:val="0"/>
        <w:widowControl w:val="0"/>
        <w:numPr>
          <w:ilvl w:val="1"/>
          <w:numId w:val="10"/>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法律培训</w:t>
      </w:r>
      <w:r>
        <w:rPr>
          <w:rFonts w:hint="eastAsia" w:ascii="宋体" w:hAnsi="宋体" w:eastAsia="宋体" w:cs="宋体"/>
          <w:sz w:val="21"/>
          <w:szCs w:val="21"/>
        </w:rPr>
        <w:t xml:space="preserve">：每年至少组织两次法律知识培训，制定年度培训计划任务清单。及时提供医疗行业发展所需的法律法规及国家政策信息，协助医院对员工进行业务培训。定期面向全院员工开展普法宣传和法律知识培训，必要时面向管理层开展专题法律宣传、政策辅导等培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体系搭建类服务</w:t>
      </w:r>
      <w:r>
        <w:rPr>
          <w:rFonts w:hint="eastAsia" w:ascii="宋体" w:hAnsi="宋体" w:eastAsia="宋体" w:cs="宋体"/>
          <w:sz w:val="21"/>
          <w:szCs w:val="21"/>
        </w:rPr>
        <w:t xml:space="preserve"> </w:t>
      </w:r>
    </w:p>
    <w:p>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协助医院梳理完善劳资纠纷法律程序及证据保全制度。 </w:t>
      </w:r>
    </w:p>
    <w:p>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协助医院梳理健全知识产权保护体系及商业秘密保护制度。 </w:t>
      </w:r>
    </w:p>
    <w:p>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协助医院梳理完善院名院誉、商标注册及各类专利注册申请转让等制度。 </w:t>
      </w:r>
    </w:p>
    <w:p>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根据医院要求，提供其他体系梳理及搭建的法律服务。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其他服务</w:t>
      </w:r>
      <w:r>
        <w:rPr>
          <w:rFonts w:hint="eastAsia" w:ascii="宋体" w:hAnsi="宋体" w:eastAsia="宋体" w:cs="宋体"/>
          <w:sz w:val="21"/>
          <w:szCs w:val="21"/>
        </w:rPr>
        <w:t xml:space="preserve"> </w:t>
      </w:r>
    </w:p>
    <w:p>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如需诉讼服务，双方需另行办理委托手续，并按相关收费标准支付律师费。 </w:t>
      </w:r>
    </w:p>
    <w:p>
      <w:pPr>
        <w:keepNext w:val="0"/>
        <w:keepLines w:val="0"/>
        <w:pageBreakBefore w:val="0"/>
        <w:widowControl w:val="0"/>
        <w:numPr>
          <w:ilvl w:val="1"/>
          <w:numId w:val="12"/>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律师事务所认为可提供的其他相关服务</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、服务要求</w:t>
      </w:r>
      <w:r>
        <w:rPr>
          <w:rFonts w:hint="eastAsia" w:ascii="宋体" w:hAnsi="宋体" w:eastAsia="宋体" w:cs="宋体"/>
          <w:sz w:val="21"/>
          <w:szCs w:val="21"/>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遵循积极、专业、诚信、全面、全程的原则提供法律服务。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组建稳定的律师团队为医院提供服务，确保足够的服务力量</w:t>
      </w:r>
      <w:r>
        <w:rPr>
          <w:rFonts w:hint="eastAsia" w:ascii="宋体" w:hAnsi="宋体" w:eastAsia="宋体" w:cs="宋体"/>
          <w:sz w:val="21"/>
          <w:szCs w:val="21"/>
          <w:lang w:eastAsia="zh-CN"/>
        </w:rPr>
        <w:t>，</w:t>
      </w:r>
      <w:r>
        <w:rPr>
          <w:rFonts w:hint="eastAsia" w:ascii="宋体" w:hAnsi="宋体" w:eastAsia="宋体" w:cs="宋体"/>
          <w:sz w:val="21"/>
          <w:szCs w:val="21"/>
        </w:rPr>
        <w:t>其中主办律师</w:t>
      </w:r>
      <w:r>
        <w:rPr>
          <w:rFonts w:hint="eastAsia" w:ascii="宋体" w:hAnsi="宋体" w:eastAsia="宋体" w:cs="宋体"/>
          <w:sz w:val="21"/>
          <w:szCs w:val="21"/>
          <w:lang w:eastAsia="zh-CN"/>
        </w:rPr>
        <w:t>（团队负责人）</w:t>
      </w:r>
      <w:r>
        <w:rPr>
          <w:rFonts w:hint="eastAsia" w:ascii="宋体" w:hAnsi="宋体" w:eastAsia="宋体" w:cs="宋体"/>
          <w:sz w:val="21"/>
          <w:szCs w:val="21"/>
        </w:rPr>
        <w:t xml:space="preserve">1名，需具有5年以上执业经验，能及时满足医院工作需求。团队主办律师及其他成员更换时，需指派具有相同资质和经验的律师，并获得医院书面同意；如医院认为所指派律师不能胜任工作，有权要求限期更换，否则可解除服务合同。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主动、及时向医院反馈案件办理进展、结果及经验，并提出纠正和预防措施，整理资料留存备查。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驻点服务</w:t>
      </w:r>
      <w:r>
        <w:rPr>
          <w:rFonts w:hint="eastAsia" w:ascii="宋体" w:hAnsi="宋体" w:eastAsia="宋体" w:cs="宋体"/>
          <w:sz w:val="21"/>
          <w:szCs w:val="21"/>
        </w:rPr>
        <w:t>：事务所应指派1名</w:t>
      </w:r>
      <w:r>
        <w:rPr>
          <w:rFonts w:hint="eastAsia" w:ascii="宋体" w:hAnsi="宋体" w:eastAsia="宋体" w:cs="宋体"/>
          <w:sz w:val="21"/>
          <w:szCs w:val="21"/>
          <w:lang w:val="en-US" w:eastAsia="zh-CN"/>
        </w:rPr>
        <w:t>全日制</w:t>
      </w:r>
      <w:r>
        <w:rPr>
          <w:rFonts w:hint="eastAsia" w:ascii="宋体" w:hAnsi="宋体" w:eastAsia="宋体" w:cs="宋体"/>
          <w:sz w:val="21"/>
          <w:szCs w:val="21"/>
        </w:rPr>
        <w:t>本科及以上学历的</w:t>
      </w:r>
      <w:r>
        <w:rPr>
          <w:rFonts w:hint="eastAsia" w:ascii="宋体" w:hAnsi="宋体" w:eastAsia="宋体" w:cs="宋体"/>
          <w:sz w:val="21"/>
          <w:szCs w:val="21"/>
          <w:lang w:val="en-US" w:eastAsia="zh-CN"/>
        </w:rPr>
        <w:t>并具有1年以上执业经验的</w:t>
      </w:r>
      <w:r>
        <w:rPr>
          <w:rFonts w:hint="eastAsia" w:ascii="宋体" w:hAnsi="宋体" w:eastAsia="宋体" w:cs="宋体"/>
          <w:sz w:val="21"/>
          <w:szCs w:val="21"/>
        </w:rPr>
        <w:t xml:space="preserve">律师在医院驻点，要求如下： </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驻点律师需具备较强的专业水平和综合素质，负责按医院要求处理日常法律事务。 </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每月驻点时间不少于1天，具体根据医院需求调整。 </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严格遵守医院规章制度，服从工作安排。 </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遇特殊情况需接受临时加班任务，因故请假需提前说明并补班，确保不影响医院工作任务。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遇特殊情况需在2小时内到达指定地点提供法律帮助，或及时作出书面回复，并提出具体可操作方案和解决途径。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每半年</w:t>
      </w:r>
      <w:r>
        <w:rPr>
          <w:rFonts w:hint="eastAsia" w:ascii="宋体" w:hAnsi="宋体" w:eastAsia="宋体" w:cs="宋体"/>
          <w:sz w:val="21"/>
          <w:szCs w:val="21"/>
        </w:rPr>
        <w:t xml:space="preserve">提供工作时间表、计划表或对过去工作内容进行总结并汇报。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提供明确的团队工作流程、风险管控措施及质量控制机制承诺。 </w:t>
      </w:r>
    </w:p>
    <w:p>
      <w:pPr>
        <w:pStyle w:val="5"/>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重要事项的咨询意见需提供签字或盖章的正式书面文书。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rightChars="0" w:firstLine="442" w:firstLineChars="200"/>
        <w:textAlignment w:val="auto"/>
        <w:outlineLvl w:val="3"/>
        <w:rPr>
          <w:rFonts w:hint="eastAsia" w:cs="宋体"/>
          <w:b/>
          <w:kern w:val="0"/>
          <w:sz w:val="22"/>
          <w:szCs w:val="24"/>
          <w:lang w:val="en-US" w:eastAsia="zh-CN" w:bidi="ar"/>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rightChars="0" w:firstLine="422" w:firstLineChars="200"/>
        <w:textAlignment w:val="auto"/>
        <w:outlineLvl w:val="3"/>
        <w:rPr>
          <w:rFonts w:hint="eastAsia" w:ascii="宋体" w:hAnsi="宋体" w:eastAsia="宋体" w:cs="宋体"/>
          <w:sz w:val="21"/>
          <w:szCs w:val="21"/>
        </w:rPr>
      </w:pPr>
      <w:r>
        <w:rPr>
          <w:rFonts w:hint="eastAsia" w:ascii="宋体" w:hAnsi="宋体" w:eastAsia="宋体" w:cs="宋体"/>
          <w:b/>
          <w:kern w:val="0"/>
          <w:sz w:val="21"/>
          <w:szCs w:val="21"/>
          <w:lang w:val="en-US" w:eastAsia="zh-CN" w:bidi="ar"/>
        </w:rPr>
        <w:t>六、</w:t>
      </w:r>
      <w:r>
        <w:rPr>
          <w:rFonts w:hint="eastAsia" w:ascii="宋体" w:hAnsi="宋体" w:eastAsia="宋体" w:cs="宋体"/>
          <w:b/>
          <w:i w:val="0"/>
          <w:caps w:val="0"/>
          <w:color w:val="0D0D0D"/>
          <w:spacing w:val="0"/>
          <w:sz w:val="21"/>
          <w:szCs w:val="21"/>
          <w:shd w:val="clear" w:fill="FFFFFF"/>
          <w:lang w:eastAsia="zh-CN"/>
        </w:rPr>
        <w:t>具体采购项目评分标准：</w:t>
      </w:r>
      <w:bookmarkStart w:id="0" w:name="_Toc141401766"/>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leftChars="0" w:right="0" w:rightChars="0" w:firstLine="422" w:firstLineChars="200"/>
        <w:textAlignment w:val="auto"/>
        <w:outlineLvl w:val="3"/>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综合评分</w:t>
      </w:r>
      <w:bookmarkEnd w:id="0"/>
    </w:p>
    <w:p>
      <w:pPr>
        <w:widowControl/>
        <w:numPr>
          <w:ilvl w:val="0"/>
          <w:numId w:val="0"/>
        </w:numPr>
        <w:spacing w:line="360" w:lineRule="auto"/>
        <w:ind w:left="480" w:leftChars="0"/>
        <w:jc w:val="left"/>
        <w:rPr>
          <w:rFonts w:ascii="宋体" w:hAnsi="宋体" w:cs="Times New Roman"/>
          <w:b/>
          <w:color w:val="000000" w:themeColor="text1"/>
          <w:szCs w:val="24"/>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本次评审采</w:t>
      </w:r>
      <w:r>
        <w:rPr>
          <w:rFonts w:hint="eastAsia" w:ascii="宋体" w:hAnsi="宋体"/>
          <w:color w:val="000000" w:themeColor="text1"/>
          <w:szCs w:val="24"/>
          <w14:textFill>
            <w14:solidFill>
              <w14:schemeClr w14:val="tx1"/>
            </w14:solidFill>
          </w14:textFill>
        </w:rPr>
        <w:t>用综合评分法。评分比重构成如下：</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2094"/>
        <w:gridCol w:w="2243"/>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38"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ind w:firstLine="0" w:firstLineChars="0"/>
              <w:jc w:val="center"/>
              <w:rPr>
                <w:rFonts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评分项目</w:t>
            </w:r>
          </w:p>
        </w:tc>
        <w:tc>
          <w:tcPr>
            <w:tcW w:w="1229"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ind w:firstLine="0" w:firstLineChars="0"/>
              <w:jc w:val="center"/>
              <w:rPr>
                <w:rFonts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技术评分</w:t>
            </w:r>
          </w:p>
        </w:tc>
        <w:tc>
          <w:tcPr>
            <w:tcW w:w="1316"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ind w:left="-36" w:leftChars="-17" w:firstLine="0" w:firstLineChars="0"/>
              <w:jc w:val="center"/>
              <w:rPr>
                <w:rFonts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商务评分</w:t>
            </w:r>
          </w:p>
        </w:tc>
        <w:tc>
          <w:tcPr>
            <w:tcW w:w="1316"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ind w:firstLine="0" w:firstLineChars="0"/>
              <w:jc w:val="cente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8"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ind w:firstLine="0" w:firstLineChars="0"/>
              <w:jc w:val="center"/>
              <w:rPr>
                <w:rFonts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分值</w:t>
            </w:r>
          </w:p>
        </w:tc>
        <w:tc>
          <w:tcPr>
            <w:tcW w:w="1229" w:type="pct"/>
            <w:tcBorders>
              <w:top w:val="single" w:color="auto" w:sz="4" w:space="0"/>
              <w:left w:val="single" w:color="auto" w:sz="4" w:space="0"/>
              <w:bottom w:val="single" w:color="auto" w:sz="4" w:space="0"/>
              <w:right w:val="single" w:color="auto" w:sz="4" w:space="0"/>
            </w:tcBorders>
            <w:vAlign w:val="center"/>
          </w:tcPr>
          <w:p>
            <w:pPr>
              <w:spacing w:line="360" w:lineRule="auto"/>
              <w:ind w:left="302" w:leftChars="144" w:firstLine="0" w:firstLineChars="0"/>
              <w:jc w:val="center"/>
              <w:rPr>
                <w:rFonts w:ascii="宋体" w:hAnsi="宋体"/>
                <w:bCs/>
                <w:color w:val="auto"/>
                <w:sz w:val="20"/>
                <w:szCs w:val="20"/>
              </w:rPr>
            </w:pPr>
            <w:r>
              <w:rPr>
                <w:rFonts w:hint="eastAsia" w:ascii="宋体" w:hAnsi="宋体"/>
                <w:bCs/>
                <w:color w:val="auto"/>
                <w:sz w:val="20"/>
                <w:szCs w:val="20"/>
                <w:lang w:val="en-US" w:eastAsia="zh-CN"/>
              </w:rPr>
              <w:t>55</w:t>
            </w:r>
            <w:r>
              <w:rPr>
                <w:rFonts w:hint="eastAsia" w:ascii="宋体" w:hAnsi="宋体"/>
                <w:bCs/>
                <w:color w:val="auto"/>
                <w:sz w:val="20"/>
                <w:szCs w:val="20"/>
              </w:rPr>
              <w:t>分</w:t>
            </w:r>
          </w:p>
        </w:tc>
        <w:tc>
          <w:tcPr>
            <w:tcW w:w="1316" w:type="pct"/>
            <w:tcBorders>
              <w:top w:val="single" w:color="auto" w:sz="4" w:space="0"/>
              <w:left w:val="single" w:color="auto" w:sz="4" w:space="0"/>
              <w:bottom w:val="single" w:color="auto" w:sz="4" w:space="0"/>
              <w:right w:val="single" w:color="auto" w:sz="4" w:space="0"/>
            </w:tcBorders>
            <w:vAlign w:val="center"/>
          </w:tcPr>
          <w:p>
            <w:pPr>
              <w:spacing w:line="360" w:lineRule="auto"/>
              <w:ind w:left="302" w:leftChars="144" w:firstLine="0" w:firstLineChars="0"/>
              <w:jc w:val="center"/>
              <w:rPr>
                <w:rFonts w:ascii="宋体" w:hAnsi="宋体"/>
                <w:bCs/>
                <w:color w:val="auto"/>
                <w:sz w:val="20"/>
                <w:szCs w:val="20"/>
              </w:rPr>
            </w:pPr>
            <w:r>
              <w:rPr>
                <w:rFonts w:hint="eastAsia" w:ascii="宋体" w:hAnsi="宋体"/>
                <w:bCs/>
                <w:color w:val="auto"/>
                <w:sz w:val="20"/>
                <w:szCs w:val="20"/>
                <w:lang w:val="en-US" w:eastAsia="zh-CN"/>
              </w:rPr>
              <w:t>35</w:t>
            </w:r>
            <w:r>
              <w:rPr>
                <w:rFonts w:hint="eastAsia" w:ascii="宋体" w:hAnsi="宋体"/>
                <w:bCs/>
                <w:color w:val="auto"/>
                <w:sz w:val="20"/>
                <w:szCs w:val="20"/>
              </w:rPr>
              <w:t>分</w:t>
            </w:r>
          </w:p>
        </w:tc>
        <w:tc>
          <w:tcPr>
            <w:tcW w:w="1316" w:type="pct"/>
            <w:tcBorders>
              <w:top w:val="single" w:color="auto" w:sz="4" w:space="0"/>
              <w:left w:val="single" w:color="auto" w:sz="4" w:space="0"/>
              <w:bottom w:val="single" w:color="auto" w:sz="4" w:space="0"/>
              <w:right w:val="single" w:color="auto" w:sz="4" w:space="0"/>
            </w:tcBorders>
            <w:vAlign w:val="center"/>
          </w:tcPr>
          <w:p>
            <w:pPr>
              <w:spacing w:line="360" w:lineRule="auto"/>
              <w:ind w:left="302" w:leftChars="144" w:firstLine="0" w:firstLineChars="0"/>
              <w:jc w:val="center"/>
              <w:rPr>
                <w:rFonts w:ascii="宋体" w:hAnsi="宋体"/>
                <w:bCs/>
                <w:color w:val="auto"/>
                <w:sz w:val="20"/>
                <w:szCs w:val="20"/>
              </w:rPr>
            </w:pPr>
            <w:r>
              <w:rPr>
                <w:rFonts w:hint="eastAsia" w:ascii="宋体" w:hAnsi="宋体"/>
                <w:bCs/>
                <w:color w:val="auto"/>
                <w:sz w:val="20"/>
                <w:szCs w:val="20"/>
                <w:lang w:val="en-US" w:eastAsia="zh-CN"/>
              </w:rPr>
              <w:t>10</w:t>
            </w:r>
            <w:r>
              <w:rPr>
                <w:rFonts w:hint="eastAsia" w:ascii="宋体" w:hAnsi="宋体"/>
                <w:bCs/>
                <w:color w:val="auto"/>
                <w:sz w:val="20"/>
                <w:szCs w:val="20"/>
              </w:rPr>
              <w:t>分</w:t>
            </w:r>
          </w:p>
        </w:tc>
      </w:tr>
    </w:tbl>
    <w:p>
      <w:pPr>
        <w:pStyle w:val="2"/>
        <w:numPr>
          <w:ilvl w:val="1"/>
          <w:numId w:val="0"/>
        </w:numPr>
        <w:ind w:left="284" w:leftChars="0"/>
        <w:rPr>
          <w:rFonts w:ascii="宋体" w:hAnsi="宋体" w:eastAsia="宋体"/>
          <w:sz w:val="22"/>
          <w:szCs w:val="24"/>
        </w:rPr>
      </w:pPr>
      <w:r>
        <w:rPr>
          <w:rFonts w:hint="eastAsia" w:ascii="宋体" w:hAnsi="宋体" w:eastAsia="宋体"/>
          <w:sz w:val="22"/>
          <w:szCs w:val="24"/>
          <w:lang w:val="en-US" w:eastAsia="zh-CN"/>
        </w:rPr>
        <w:t>2、</w:t>
      </w:r>
      <w:r>
        <w:rPr>
          <w:rFonts w:hint="eastAsia" w:ascii="宋体" w:hAnsi="宋体" w:eastAsia="宋体"/>
          <w:sz w:val="22"/>
          <w:szCs w:val="24"/>
        </w:rPr>
        <w:t>技术评分</w:t>
      </w:r>
      <w:r>
        <w:rPr>
          <w:rFonts w:hint="eastAsia" w:ascii="宋体" w:hAnsi="宋体" w:eastAsia="宋体"/>
          <w:sz w:val="22"/>
          <w:szCs w:val="24"/>
          <w:lang w:eastAsia="zh-CN"/>
        </w:rPr>
        <w:t>（</w:t>
      </w:r>
      <w:r>
        <w:rPr>
          <w:rFonts w:hint="eastAsia" w:ascii="宋体" w:hAnsi="宋体" w:eastAsia="宋体"/>
          <w:sz w:val="22"/>
          <w:szCs w:val="24"/>
          <w:lang w:val="en-US" w:eastAsia="zh-CN"/>
        </w:rPr>
        <w:t>60分</w:t>
      </w:r>
      <w:r>
        <w:rPr>
          <w:rFonts w:hint="eastAsia" w:ascii="宋体" w:hAnsi="宋体" w:eastAsia="宋体"/>
          <w:sz w:val="22"/>
          <w:szCs w:val="24"/>
          <w:lang w:eastAsia="zh-CN"/>
        </w:rPr>
        <w:t>）</w:t>
      </w:r>
    </w:p>
    <w:p>
      <w:pPr>
        <w:widowControl/>
        <w:spacing w:line="360" w:lineRule="auto"/>
        <w:ind w:firstLine="480"/>
        <w:rPr>
          <w:rFonts w:hint="eastAsia" w:ascii="宋体" w:hAnsi="宋体"/>
          <w:szCs w:val="24"/>
        </w:rPr>
      </w:pPr>
      <w:r>
        <w:rPr>
          <w:rFonts w:hint="eastAsia" w:ascii="宋体" w:hAnsi="宋体"/>
          <w:szCs w:val="24"/>
        </w:rPr>
        <w:t>由评标小组成员对所有有效响应文件的技术和服务响应方案进行审核和分析，填写《技术评分表》，如下：</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512"/>
        <w:gridCol w:w="699"/>
        <w:gridCol w:w="5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04" w:type="pct"/>
            <w:noWrap w:val="0"/>
            <w:vAlign w:val="center"/>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887" w:type="pct"/>
            <w:noWrap w:val="0"/>
            <w:vAlign w:val="center"/>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评审内容</w:t>
            </w:r>
          </w:p>
        </w:tc>
        <w:tc>
          <w:tcPr>
            <w:tcW w:w="410" w:type="pct"/>
            <w:noWrap w:val="0"/>
            <w:vAlign w:val="center"/>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分值</w:t>
            </w:r>
          </w:p>
        </w:tc>
        <w:tc>
          <w:tcPr>
            <w:tcW w:w="3297" w:type="pct"/>
            <w:noWrap w:val="0"/>
            <w:vAlign w:val="center"/>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评分档次及依据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基本工作要求方案1</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29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根据投标人针对本项目制定的基本工作要求方案进行评分，能根据本项目采购需求提供基本工作要求方案的，得4分；如未能提供的，本项及“基本工作要求方案2”评分项均不得分。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基本工作要求方案2</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329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提供服务内容响应及服务承诺：优于采购需求，得6分；完全满足采购需求，得3分；部分满足采购需求，得1分；无或其他情况不得分。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保密制度和保密措施1</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29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针对本项目的保密制度和保密措施情况进行综合评审：（1）能根据本项目采购需求提供保密制度，得2分；（2）能根据本项目采购需求提供保密措施,得2分。如未能提供的，本项及“保密制度和保密措施2”评分项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保密制度和保密措施2</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3297" w:type="pct"/>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根据投标人针对本项目的保密制度和保密措施情况进行综合评审：（1）保密制度完全满足或优于采购需求的，得</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分：保密制度部分满足采购需求的，得1分。无或其他情况不得分。（2）保密措施完全满足或优于采购需求的，得3分：保密措施部分满足采购需求的，得1分。无或其他情况不得分。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项目工作流程和档案管理方案1</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3297" w:type="pct"/>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根据投标人针对本项目的工作流程和档案管理方案情况进行综合评审：（1）能根据本项目采购需求提供项目工作流程，得4分；（2）能根据本项目采购需求提供档案管理方案,得4分。如未能提供的，本项及“项目工作制度和档案管理方案2”评分项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项目工作流程和档案管理方案2</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3297" w:type="pct"/>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根据投标人针对本项目的工作流程和档案管理方案情况进行综合评审：（1）项目工作制度完全满足或优于采购需求的，得7分：项目工作制度部分满足采购需求的，得2分。无或其他情况不得分。（2）档案管理方案完全满足或优于采购需求的，得7分：档案管理方案部分满足采购需求的，得2分。无或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人员管理及培训方案1</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3297" w:type="pct"/>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根据投标人针对本项目提供的人员管理及培训方案进行综合评分：（1）能提供人员管理及培训方案的，得2分；（2）培训计划包含相关专业培训，得2分。如未能提供或培训计划内容不完整的，本项及“人员管理及培训2”评分项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887" w:type="pct"/>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人员管理及培训方案2</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3297" w:type="pct"/>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根据投标人针对本项目的人员管理及培训方案情况进行综合评审：（1）项目人员管理方案完全满足或优于采购需求的，得</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分：部分满足采购需求的，得1分。无或其他情况不得分。（2）培训方案完全满足或优于采购需求的，得</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分：部分满足采购需求的，得1分。无或其他情况不得分。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91" w:type="pct"/>
            <w:gridSpan w:val="2"/>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b/>
                <w:szCs w:val="21"/>
                <w:highlight w:val="none"/>
              </w:rPr>
              <w:t>合计</w:t>
            </w:r>
          </w:p>
        </w:tc>
        <w:tc>
          <w:tcPr>
            <w:tcW w:w="410" w:type="pct"/>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55</w:t>
            </w:r>
          </w:p>
        </w:tc>
        <w:tc>
          <w:tcPr>
            <w:tcW w:w="3297" w:type="pct"/>
            <w:noWrap w:val="0"/>
            <w:vAlign w:val="center"/>
          </w:tcPr>
          <w:p>
            <w:pPr>
              <w:snapToGrid w:val="0"/>
              <w:spacing w:line="360" w:lineRule="exact"/>
              <w:rPr>
                <w:rFonts w:hint="eastAsia" w:ascii="宋体" w:hAnsi="宋体" w:eastAsia="宋体" w:cs="宋体"/>
                <w:szCs w:val="21"/>
                <w:highlight w:val="none"/>
              </w:rPr>
            </w:pPr>
          </w:p>
        </w:tc>
      </w:tr>
    </w:tbl>
    <w:p>
      <w:pPr>
        <w:pStyle w:val="2"/>
        <w:numPr>
          <w:ilvl w:val="1"/>
          <w:numId w:val="0"/>
        </w:numPr>
        <w:rPr>
          <w:rFonts w:ascii="宋体" w:hAnsi="宋体" w:eastAsia="宋体"/>
          <w:color w:val="000000" w:themeColor="text1"/>
          <w14:textFill>
            <w14:solidFill>
              <w14:schemeClr w14:val="tx1"/>
            </w14:solidFill>
          </w14:textFill>
        </w:rPr>
      </w:pPr>
      <w:bookmarkStart w:id="1" w:name="_Toc141401768"/>
      <w:r>
        <w:rPr>
          <w:rFonts w:hint="eastAsia" w:ascii="宋体" w:hAnsi="宋体" w:eastAsia="宋体"/>
          <w:color w:val="000000" w:themeColor="text1"/>
          <w:sz w:val="22"/>
          <w:szCs w:val="24"/>
          <w:lang w:val="en-US" w:eastAsia="zh-CN"/>
          <w14:textFill>
            <w14:solidFill>
              <w14:schemeClr w14:val="tx1"/>
            </w14:solidFill>
          </w14:textFill>
        </w:rPr>
        <w:t>3、</w:t>
      </w:r>
      <w:r>
        <w:rPr>
          <w:rFonts w:hint="eastAsia" w:ascii="宋体" w:hAnsi="宋体" w:eastAsia="宋体"/>
          <w:color w:val="000000" w:themeColor="text1"/>
          <w:sz w:val="22"/>
          <w:szCs w:val="24"/>
          <w14:textFill>
            <w14:solidFill>
              <w14:schemeClr w14:val="tx1"/>
            </w14:solidFill>
          </w14:textFill>
        </w:rPr>
        <w:t>商务评分</w:t>
      </w:r>
      <w:bookmarkEnd w:id="1"/>
      <w:r>
        <w:rPr>
          <w:rFonts w:hint="eastAsia" w:ascii="宋体" w:hAnsi="宋体" w:eastAsia="宋体"/>
          <w:color w:val="000000" w:themeColor="text1"/>
          <w:sz w:val="22"/>
          <w:szCs w:val="24"/>
          <w:lang w:eastAsia="zh-CN"/>
          <w14:textFill>
            <w14:solidFill>
              <w14:schemeClr w14:val="tx1"/>
            </w14:solidFill>
          </w14:textFill>
        </w:rPr>
        <w:t>（</w:t>
      </w:r>
      <w:r>
        <w:rPr>
          <w:rFonts w:hint="eastAsia" w:ascii="宋体" w:hAnsi="宋体" w:eastAsia="宋体"/>
          <w:color w:val="000000" w:themeColor="text1"/>
          <w:sz w:val="22"/>
          <w:szCs w:val="24"/>
          <w:lang w:val="en-US" w:eastAsia="zh-CN"/>
          <w14:textFill>
            <w14:solidFill>
              <w14:schemeClr w14:val="tx1"/>
            </w14:solidFill>
          </w14:textFill>
        </w:rPr>
        <w:t>35分）</w:t>
      </w:r>
      <w:r>
        <w:rPr>
          <w:rFonts w:hint="eastAsia" w:ascii="宋体" w:hAnsi="宋体" w:eastAsia="宋体"/>
          <w:color w:val="000000" w:themeColor="text1"/>
          <w14:textFill>
            <w14:solidFill>
              <w14:schemeClr w14:val="tx1"/>
            </w14:solidFill>
          </w14:textFill>
        </w:rPr>
        <w:t xml:space="preserve">  </w:t>
      </w:r>
    </w:p>
    <w:p>
      <w:pPr>
        <w:widowControl/>
        <w:numPr>
          <w:ilvl w:val="0"/>
          <w:numId w:val="0"/>
        </w:numPr>
        <w:spacing w:line="360" w:lineRule="auto"/>
        <w:ind w:left="0" w:leftChars="0" w:firstLine="480" w:firstLineChars="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由评标小组成员对所有有效响应文件的商务条件进行审核和评价，填写《商务评分表》，如下：</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88"/>
        <w:gridCol w:w="723"/>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873"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评审内容</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分值</w:t>
            </w:r>
          </w:p>
        </w:tc>
        <w:tc>
          <w:tcPr>
            <w:tcW w:w="3293" w:type="pct"/>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评分档次及依据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7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同类项目经验：依据</w:t>
            </w:r>
            <w:r>
              <w:rPr>
                <w:rFonts w:hint="eastAsia" w:ascii="宋体" w:hAnsi="宋体" w:eastAsia="宋体" w:cs="宋体"/>
                <w:sz w:val="21"/>
                <w:szCs w:val="21"/>
                <w:highlight w:val="none"/>
                <w:lang w:eastAsia="zh-CN"/>
              </w:rPr>
              <w:t>2023</w:t>
            </w:r>
            <w:r>
              <w:rPr>
                <w:rFonts w:hint="eastAsia" w:ascii="宋体" w:hAnsi="宋体" w:eastAsia="宋体" w:cs="宋体"/>
                <w:sz w:val="21"/>
                <w:szCs w:val="21"/>
                <w:highlight w:val="none"/>
              </w:rPr>
              <w:t>年以来完成的法律服务项目合同或验收报告情况【以合同签订时间为准，分支机构投标的，总公司(总所)业绩可纳入评审】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329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1月1日以来（以合同签订时间为准）常年法律顾问服务项目经验：每提供一个合同得1分，最高得5分。注：须提供合同关键页扫描件（含签订合同双方的单位名称、合同项目名称、合同清单、签订合同双方的落款盖章、签订日期页）扫描件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87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客户满意评价</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329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1月1日以来的项目中获得项目用户考核评价为正面评价(优秀、优良、良好、满意或相当于类似评价)。每份得1分，最高5分，同一项目不同年份的合同按一份计算，不重复计算分数(注：提供合同甲方或甲方项目主管部门盖章的评价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87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常年法律顾问（团队负责人）的资质和经验</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329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根据拟指派常年法律顾问（团队负责人）的执业经验进行评审。执业经验≥10年，得3分；10年＞执业经验≥8年，得1分；其他情况或无响应，得0分。2.根据拟指派常年法律顾问（团队负责人）具有驻点法律顾问服务经验的得3分；其他情况或无响应，得0分。 3.根据拟指派常年法律顾问（团队负责人）</w:t>
            </w:r>
            <w:r>
              <w:rPr>
                <w:rFonts w:hint="eastAsia" w:ascii="宋体" w:hAnsi="宋体" w:eastAsia="宋体" w:cs="宋体"/>
                <w:sz w:val="21"/>
                <w:szCs w:val="21"/>
                <w:highlight w:val="none"/>
                <w:lang w:eastAsia="zh-CN"/>
              </w:rPr>
              <w:t>2023</w:t>
            </w:r>
            <w:r>
              <w:rPr>
                <w:rFonts w:hint="eastAsia" w:ascii="宋体" w:hAnsi="宋体" w:eastAsia="宋体" w:cs="宋体"/>
                <w:sz w:val="21"/>
                <w:szCs w:val="21"/>
                <w:highlight w:val="none"/>
              </w:rPr>
              <w:t>年以来作为主办律师代理民事或行政诉讼案件数量进行计分。案件数量＞12宗，得4分；12宗≥案件数量≥6宗，得2分；其他情况或无响应，得0分。 请在人员简历中详细说明执业、服务单位证明，需提供案件代理汇总表、裁判文书等证明材料。不提供不得分。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87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eastAsia="zh-CN"/>
              </w:rPr>
              <w:t>驻点</w:t>
            </w:r>
            <w:r>
              <w:rPr>
                <w:rFonts w:hint="eastAsia" w:ascii="宋体" w:hAnsi="宋体" w:eastAsia="宋体" w:cs="宋体"/>
                <w:sz w:val="21"/>
                <w:szCs w:val="21"/>
                <w:highlight w:val="none"/>
              </w:rPr>
              <w:t>律师的资质和经验</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329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1.根据拟指派项目</w:t>
            </w:r>
            <w:r>
              <w:rPr>
                <w:rFonts w:hint="eastAsia" w:ascii="宋体" w:hAnsi="宋体" w:eastAsia="宋体" w:cs="宋体"/>
                <w:color w:val="000000"/>
                <w:sz w:val="21"/>
                <w:szCs w:val="21"/>
                <w:highlight w:val="none"/>
                <w:lang w:eastAsia="zh-CN" w:bidi="ar"/>
              </w:rPr>
              <w:t>驻点</w:t>
            </w:r>
            <w:r>
              <w:rPr>
                <w:rFonts w:hint="eastAsia" w:ascii="宋体" w:hAnsi="宋体" w:eastAsia="宋体" w:cs="宋体"/>
                <w:color w:val="000000"/>
                <w:sz w:val="21"/>
                <w:szCs w:val="21"/>
                <w:highlight w:val="none"/>
                <w:lang w:bidi="ar"/>
              </w:rPr>
              <w:t>律师的执业经验进行评审。执业经验≥5年，得4分；5年＞执业经验≥3年，得2分；其他情况或无响应，得0分。</w:t>
            </w:r>
          </w:p>
          <w:p>
            <w:pPr>
              <w:pStyle w:val="15"/>
              <w:snapToGrid w:val="0"/>
              <w:spacing w:line="360" w:lineRule="exac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2.根据拟指派项目</w:t>
            </w:r>
            <w:r>
              <w:rPr>
                <w:rFonts w:hint="eastAsia" w:ascii="宋体" w:hAnsi="宋体" w:eastAsia="宋体" w:cs="宋体"/>
                <w:color w:val="000000"/>
                <w:sz w:val="21"/>
                <w:szCs w:val="21"/>
                <w:highlight w:val="none"/>
                <w:lang w:eastAsia="zh-CN" w:bidi="ar"/>
              </w:rPr>
              <w:t>驻点</w:t>
            </w:r>
            <w:r>
              <w:rPr>
                <w:rFonts w:hint="eastAsia" w:ascii="宋体" w:hAnsi="宋体" w:eastAsia="宋体" w:cs="宋体"/>
                <w:color w:val="000000"/>
                <w:sz w:val="21"/>
                <w:szCs w:val="21"/>
                <w:highlight w:val="none"/>
                <w:lang w:bidi="ar"/>
              </w:rPr>
              <w:t xml:space="preserve">律师具有常年法律顾问服务经验进行评审，服务单位＞3个，得4分；3个≥服务单位≥1个，得2分；其他情况或无响应，得0分。 </w:t>
            </w:r>
          </w:p>
          <w:p>
            <w:pPr>
              <w:pStyle w:val="15"/>
              <w:snapToGrid w:val="0"/>
              <w:spacing w:line="360" w:lineRule="exac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3. 根据拟指派项目</w:t>
            </w:r>
            <w:r>
              <w:rPr>
                <w:rFonts w:hint="eastAsia" w:ascii="宋体" w:hAnsi="宋体" w:eastAsia="宋体" w:cs="宋体"/>
                <w:color w:val="000000"/>
                <w:sz w:val="21"/>
                <w:szCs w:val="21"/>
                <w:highlight w:val="none"/>
                <w:lang w:eastAsia="zh-CN" w:bidi="ar"/>
              </w:rPr>
              <w:t>驻点</w:t>
            </w:r>
            <w:r>
              <w:rPr>
                <w:rFonts w:hint="eastAsia" w:ascii="宋体" w:hAnsi="宋体" w:eastAsia="宋体" w:cs="宋体"/>
                <w:color w:val="000000"/>
                <w:sz w:val="21"/>
                <w:szCs w:val="21"/>
                <w:highlight w:val="none"/>
                <w:lang w:bidi="ar"/>
              </w:rPr>
              <w:t>律师</w:t>
            </w:r>
            <w:r>
              <w:rPr>
                <w:rFonts w:hint="eastAsia" w:ascii="宋体" w:hAnsi="宋体" w:eastAsia="宋体" w:cs="宋体"/>
                <w:color w:val="000000"/>
                <w:sz w:val="21"/>
                <w:szCs w:val="21"/>
                <w:highlight w:val="none"/>
                <w:lang w:eastAsia="zh-CN" w:bidi="ar"/>
              </w:rPr>
              <w:t>2023</w:t>
            </w:r>
            <w:r>
              <w:rPr>
                <w:rFonts w:hint="eastAsia" w:ascii="宋体" w:hAnsi="宋体" w:eastAsia="宋体" w:cs="宋体"/>
                <w:color w:val="000000"/>
                <w:sz w:val="21"/>
                <w:szCs w:val="21"/>
                <w:highlight w:val="none"/>
                <w:lang w:bidi="ar"/>
              </w:rPr>
              <w:t>年以来主办的民事或行政诉讼案件数量进行计分。案件数量＞5宗，得4分；5宗≥案件数量≥3宗，得2分；其他情况或无响应，得0分。三项评分累计最高得12分。请在人员简历中详细说明执业、服务经验起止时间及累加时间，需提供案件代理汇总表、裁判文书等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87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kern w:val="2"/>
                <w:sz w:val="21"/>
                <w:szCs w:val="21"/>
                <w:highlight w:val="none"/>
              </w:rPr>
            </w:pPr>
            <w:r>
              <w:rPr>
                <w:rFonts w:hint="eastAsia" w:ascii="宋体" w:hAnsi="宋体" w:eastAsia="宋体" w:cs="宋体"/>
                <w:sz w:val="21"/>
                <w:szCs w:val="21"/>
                <w:highlight w:val="none"/>
              </w:rPr>
              <w:t>对非重大违法违规记录的扣分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3293" w:type="pct"/>
            <w:tcBorders>
              <w:top w:val="single" w:color="auto" w:sz="4" w:space="0"/>
              <w:left w:val="single" w:color="auto" w:sz="4" w:space="0"/>
              <w:bottom w:val="single" w:color="auto" w:sz="4" w:space="0"/>
              <w:right w:val="single" w:color="auto" w:sz="4" w:space="0"/>
            </w:tcBorders>
            <w:noWrap w:val="0"/>
            <w:vAlign w:val="top"/>
          </w:tcPr>
          <w:p>
            <w:pPr>
              <w:pStyle w:val="15"/>
              <w:snapToGrid w:val="0"/>
              <w:spacing w:line="360" w:lineRule="exact"/>
              <w:rPr>
                <w:rFonts w:hint="eastAsia" w:ascii="宋体" w:hAnsi="宋体" w:eastAsia="宋体" w:cs="宋体"/>
                <w:color w:val="000000"/>
                <w:sz w:val="21"/>
                <w:szCs w:val="21"/>
                <w:highlight w:val="none"/>
                <w:lang w:bidi="ar"/>
              </w:rPr>
            </w:pPr>
            <w:r>
              <w:rPr>
                <w:rFonts w:hint="eastAsia" w:ascii="宋体" w:hAnsi="宋体" w:eastAsia="宋体" w:cs="宋体"/>
                <w:sz w:val="21"/>
                <w:szCs w:val="21"/>
                <w:highlight w:val="none"/>
              </w:rPr>
              <w:t>以“信用中国”（www.creditchina.gov.cn）网站为查询渠道：对列入行政处罚或经营异常的投标人每一条记录扣0.3分，最高扣3分。如查询结果显示没有相关记录，视为没有上述非重大违法违规记录，则不扣分。以评标委员会于评审时在上述网站查询结果为准，评标委员会应将上述记录查询情况截图存档。注：总公司（总所）投标的，只查询总公司（总所）；分支机构（分所）投标的，只查询该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82"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kern w:val="2"/>
                <w:szCs w:val="21"/>
                <w:highlight w:val="none"/>
              </w:rPr>
            </w:pPr>
            <w:r>
              <w:rPr>
                <w:rFonts w:hint="eastAsia" w:ascii="宋体" w:hAnsi="宋体" w:eastAsia="宋体" w:cs="宋体"/>
                <w:kern w:val="2"/>
                <w:szCs w:val="21"/>
                <w:highlight w:val="none"/>
              </w:rPr>
              <w:t>合计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3293" w:type="pct"/>
            <w:tcBorders>
              <w:top w:val="single" w:color="auto" w:sz="4" w:space="0"/>
              <w:left w:val="single" w:color="auto" w:sz="4" w:space="0"/>
              <w:bottom w:val="single" w:color="auto" w:sz="4" w:space="0"/>
              <w:right w:val="single" w:color="auto" w:sz="4" w:space="0"/>
            </w:tcBorders>
            <w:noWrap w:val="0"/>
            <w:vAlign w:val="center"/>
          </w:tcPr>
          <w:p>
            <w:pPr>
              <w:pStyle w:val="16"/>
              <w:spacing w:before="0" w:after="0" w:line="360" w:lineRule="exact"/>
              <w:rPr>
                <w:rFonts w:hint="eastAsia" w:ascii="宋体" w:hAnsi="宋体" w:eastAsia="宋体" w:cs="宋体"/>
                <w:color w:val="000000"/>
                <w:sz w:val="21"/>
                <w:szCs w:val="21"/>
                <w:highlight w:val="none"/>
                <w:lang w:bidi="ar"/>
              </w:rPr>
            </w:pPr>
          </w:p>
        </w:tc>
      </w:tr>
    </w:tbl>
    <w:p>
      <w:pPr>
        <w:widowControl/>
        <w:numPr>
          <w:ilvl w:val="0"/>
          <w:numId w:val="0"/>
        </w:numPr>
        <w:spacing w:line="360" w:lineRule="auto"/>
        <w:ind w:left="0" w:leftChars="0" w:firstLine="480" w:firstLineChars="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注：1、提交的证明材料须确保清晰可读，如内容模糊或字迹太小导致无法辨认的，视作未提供材料，评审时评委将不予认可。</w:t>
      </w:r>
    </w:p>
    <w:p>
      <w:pPr>
        <w:widowControl/>
        <w:numPr>
          <w:ilvl w:val="0"/>
          <w:numId w:val="0"/>
        </w:numPr>
        <w:spacing w:line="360" w:lineRule="auto"/>
        <w:ind w:left="0" w:leftChars="0" w:firstLine="480" w:firstLineChars="0"/>
        <w:rPr>
          <w:rFonts w:hint="eastAsia" w:ascii="宋体" w:hAnsi="宋体" w:eastAsia="宋体" w:cstheme="majorBidi"/>
          <w:b/>
          <w:bCs/>
          <w:color w:val="000000" w:themeColor="text1"/>
          <w:kern w:val="2"/>
          <w:sz w:val="22"/>
          <w:szCs w:val="24"/>
          <w:lang w:val="en-US" w:eastAsia="zh-CN" w:bidi="ar-SA"/>
          <w14:textFill>
            <w14:solidFill>
              <w14:schemeClr w14:val="tx1"/>
            </w14:solidFill>
          </w14:textFill>
        </w:rPr>
      </w:pPr>
      <w:r>
        <w:rPr>
          <w:rFonts w:hint="eastAsia" w:ascii="宋体" w:hAnsi="宋体" w:eastAsia="宋体" w:cstheme="majorBidi"/>
          <w:b/>
          <w:bCs/>
          <w:color w:val="000000" w:themeColor="text1"/>
          <w:kern w:val="2"/>
          <w:sz w:val="22"/>
          <w:szCs w:val="24"/>
          <w:lang w:val="en-US" w:eastAsia="zh-CN" w:bidi="ar-SA"/>
          <w14:textFill>
            <w14:solidFill>
              <w14:schemeClr w14:val="tx1"/>
            </w14:solidFill>
          </w14:textFill>
        </w:rPr>
        <w:t xml:space="preserve">4、价格评分（10分）  </w:t>
      </w:r>
    </w:p>
    <w:p>
      <w:pPr>
        <w:snapToGrid w:val="0"/>
        <w:spacing w:line="440" w:lineRule="exact"/>
        <w:ind w:firstLine="411" w:firstLineChars="196"/>
        <w:rPr>
          <w:rFonts w:hint="eastAsia" w:ascii="宋体" w:hAnsi="宋体"/>
        </w:rPr>
      </w:pPr>
      <w:r>
        <w:rPr>
          <w:rFonts w:hint="eastAsia" w:ascii="宋体" w:hAnsi="宋体"/>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5"/>
        <w:numPr>
          <w:ilvl w:val="0"/>
          <w:numId w:val="0"/>
        </w:numPr>
        <w:rPr>
          <w:rFonts w:hint="eastAsia"/>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6AF80"/>
    <w:multiLevelType w:val="multilevel"/>
    <w:tmpl w:val="A5B6AF80"/>
    <w:lvl w:ilvl="0" w:tentative="0">
      <w:start w:val="1"/>
      <w:numFmt w:val="chineseCounting"/>
      <w:suff w:val="nothing"/>
      <w:lvlText w:val="第%1章 "/>
      <w:lvlJc w:val="left"/>
      <w:pPr>
        <w:ind w:left="0" w:firstLine="402"/>
      </w:pPr>
      <w:rPr>
        <w:rFonts w:hint="eastAsia"/>
      </w:rPr>
    </w:lvl>
    <w:lvl w:ilvl="1" w:tentative="0">
      <w:start w:val="1"/>
      <w:numFmt w:val="chineseCounting"/>
      <w:pStyle w:val="2"/>
      <w:suff w:val="nothing"/>
      <w:lvlText w:val="%2、"/>
      <w:lvlJc w:val="left"/>
      <w:pPr>
        <w:ind w:left="-118"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F205925"/>
    <w:multiLevelType w:val="multilevel"/>
    <w:tmpl w:val="BF2059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C8879AEF"/>
    <w:multiLevelType w:val="multilevel"/>
    <w:tmpl w:val="C8879AE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D7F9FE59"/>
    <w:multiLevelType w:val="multilevel"/>
    <w:tmpl w:val="D7F9FE5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DCBA6B53"/>
    <w:multiLevelType w:val="multilevel"/>
    <w:tmpl w:val="DCBA6B53"/>
    <w:lvl w:ilvl="0" w:tentative="0">
      <w:start w:val="1"/>
      <w:numFmt w:val="decimal"/>
      <w:lvlText w:val="%1."/>
      <w:lvlJc w:val="left"/>
      <w:pPr>
        <w:tabs>
          <w:tab w:val="left" w:pos="440"/>
        </w:tabs>
        <w:ind w:left="440" w:hanging="440"/>
      </w:pPr>
    </w:lvl>
    <w:lvl w:ilvl="1" w:tentative="0">
      <w:start w:val="1"/>
      <w:numFmt w:val="lowerLetter"/>
      <w:lvlText w:val="%2."/>
      <w:lvlJc w:val="left"/>
      <w:pPr>
        <w:tabs>
          <w:tab w:val="left" w:pos="880"/>
        </w:tabs>
        <w:ind w:left="880" w:hanging="440"/>
      </w:pPr>
      <w:rPr>
        <w:rFonts w:hint="default"/>
      </w:rPr>
    </w:lvl>
    <w:lvl w:ilvl="2" w:tentative="0">
      <w:start w:val="1"/>
      <w:numFmt w:val="lowerRoman"/>
      <w:lvlText w:val="%3."/>
      <w:lvlJc w:val="left"/>
      <w:pPr>
        <w:tabs>
          <w:tab w:val="left" w:pos="1320"/>
        </w:tabs>
        <w:ind w:left="1320" w:hanging="440"/>
      </w:pPr>
      <w:rPr>
        <w:rFonts w:hint="default"/>
      </w:rPr>
    </w:lvl>
    <w:lvl w:ilvl="3" w:tentative="0">
      <w:start w:val="1"/>
      <w:numFmt w:val="decimal"/>
      <w:lvlText w:val="%4."/>
      <w:lvlJc w:val="left"/>
      <w:pPr>
        <w:tabs>
          <w:tab w:val="left" w:pos="1760"/>
        </w:tabs>
        <w:ind w:left="1760" w:hanging="440"/>
      </w:pPr>
      <w:rPr>
        <w:rFonts w:hint="default"/>
      </w:rPr>
    </w:lvl>
    <w:lvl w:ilvl="4" w:tentative="0">
      <w:start w:val="1"/>
      <w:numFmt w:val="lowerLetter"/>
      <w:lvlText w:val="%5."/>
      <w:lvlJc w:val="left"/>
      <w:pPr>
        <w:tabs>
          <w:tab w:val="left" w:pos="2200"/>
        </w:tabs>
        <w:ind w:left="2200" w:hanging="440"/>
      </w:pPr>
      <w:rPr>
        <w:rFonts w:hint="default"/>
      </w:rPr>
    </w:lvl>
    <w:lvl w:ilvl="5" w:tentative="0">
      <w:start w:val="1"/>
      <w:numFmt w:val="lowerRoman"/>
      <w:lvlText w:val="%6."/>
      <w:lvlJc w:val="left"/>
      <w:pPr>
        <w:tabs>
          <w:tab w:val="left" w:pos="2640"/>
        </w:tabs>
        <w:ind w:left="2640" w:hanging="440"/>
      </w:pPr>
      <w:rPr>
        <w:rFonts w:hint="default"/>
      </w:rPr>
    </w:lvl>
    <w:lvl w:ilvl="6" w:tentative="0">
      <w:start w:val="1"/>
      <w:numFmt w:val="decimal"/>
      <w:lvlText w:val="%7."/>
      <w:lvlJc w:val="left"/>
      <w:pPr>
        <w:tabs>
          <w:tab w:val="left" w:pos="3080"/>
        </w:tabs>
        <w:ind w:left="3080" w:hanging="440"/>
      </w:pPr>
      <w:rPr>
        <w:rFonts w:hint="default"/>
      </w:rPr>
    </w:lvl>
    <w:lvl w:ilvl="7" w:tentative="0">
      <w:start w:val="1"/>
      <w:numFmt w:val="lowerLetter"/>
      <w:lvlText w:val="%8."/>
      <w:lvlJc w:val="left"/>
      <w:pPr>
        <w:tabs>
          <w:tab w:val="left" w:pos="3520"/>
        </w:tabs>
        <w:ind w:left="3520" w:hanging="440"/>
      </w:pPr>
      <w:rPr>
        <w:rFonts w:hint="default"/>
      </w:rPr>
    </w:lvl>
    <w:lvl w:ilvl="8" w:tentative="0">
      <w:start w:val="1"/>
      <w:numFmt w:val="lowerRoman"/>
      <w:lvlText w:val="%9."/>
      <w:lvlJc w:val="left"/>
      <w:pPr>
        <w:tabs>
          <w:tab w:val="left" w:pos="3960"/>
        </w:tabs>
        <w:ind w:left="3960" w:hanging="440"/>
      </w:pPr>
      <w:rPr>
        <w:rFonts w:hint="default"/>
      </w:rPr>
    </w:lvl>
  </w:abstractNum>
  <w:abstractNum w:abstractNumId="6">
    <w:nsid w:val="F4B5D9F5"/>
    <w:multiLevelType w:val="multilevel"/>
    <w:tmpl w:val="F4B5D9F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0053208E"/>
    <w:multiLevelType w:val="multilevel"/>
    <w:tmpl w:val="0053208E"/>
    <w:lvl w:ilvl="0" w:tentative="0">
      <w:start w:val="1"/>
      <w:numFmt w:val="decimal"/>
      <w:lvlText w:val="%1."/>
      <w:lvlJc w:val="left"/>
      <w:pPr>
        <w:tabs>
          <w:tab w:val="left" w:pos="440"/>
        </w:tabs>
        <w:ind w:left="440" w:hanging="440"/>
      </w:pPr>
    </w:lvl>
    <w:lvl w:ilvl="1" w:tentative="0">
      <w:start w:val="1"/>
      <w:numFmt w:val="lowerLetter"/>
      <w:lvlText w:val="%2."/>
      <w:lvlJc w:val="left"/>
      <w:pPr>
        <w:tabs>
          <w:tab w:val="left" w:pos="880"/>
        </w:tabs>
        <w:ind w:left="880" w:hanging="440"/>
      </w:pPr>
      <w:rPr>
        <w:rFonts w:hint="default"/>
      </w:rPr>
    </w:lvl>
    <w:lvl w:ilvl="2" w:tentative="0">
      <w:start w:val="1"/>
      <w:numFmt w:val="lowerRoman"/>
      <w:lvlText w:val="%3."/>
      <w:lvlJc w:val="left"/>
      <w:pPr>
        <w:tabs>
          <w:tab w:val="left" w:pos="1320"/>
        </w:tabs>
        <w:ind w:left="1320" w:hanging="440"/>
      </w:pPr>
      <w:rPr>
        <w:rFonts w:hint="default"/>
      </w:rPr>
    </w:lvl>
    <w:lvl w:ilvl="3" w:tentative="0">
      <w:start w:val="1"/>
      <w:numFmt w:val="decimal"/>
      <w:lvlText w:val="%4."/>
      <w:lvlJc w:val="left"/>
      <w:pPr>
        <w:tabs>
          <w:tab w:val="left" w:pos="1760"/>
        </w:tabs>
        <w:ind w:left="1760" w:hanging="440"/>
      </w:pPr>
      <w:rPr>
        <w:rFonts w:hint="default"/>
      </w:rPr>
    </w:lvl>
    <w:lvl w:ilvl="4" w:tentative="0">
      <w:start w:val="1"/>
      <w:numFmt w:val="lowerLetter"/>
      <w:lvlText w:val="%5."/>
      <w:lvlJc w:val="left"/>
      <w:pPr>
        <w:tabs>
          <w:tab w:val="left" w:pos="2200"/>
        </w:tabs>
        <w:ind w:left="2200" w:hanging="440"/>
      </w:pPr>
      <w:rPr>
        <w:rFonts w:hint="default"/>
      </w:rPr>
    </w:lvl>
    <w:lvl w:ilvl="5" w:tentative="0">
      <w:start w:val="1"/>
      <w:numFmt w:val="lowerRoman"/>
      <w:lvlText w:val="%6."/>
      <w:lvlJc w:val="left"/>
      <w:pPr>
        <w:tabs>
          <w:tab w:val="left" w:pos="2640"/>
        </w:tabs>
        <w:ind w:left="2640" w:hanging="440"/>
      </w:pPr>
      <w:rPr>
        <w:rFonts w:hint="default"/>
      </w:rPr>
    </w:lvl>
    <w:lvl w:ilvl="6" w:tentative="0">
      <w:start w:val="1"/>
      <w:numFmt w:val="decimal"/>
      <w:lvlText w:val="%7."/>
      <w:lvlJc w:val="left"/>
      <w:pPr>
        <w:tabs>
          <w:tab w:val="left" w:pos="3080"/>
        </w:tabs>
        <w:ind w:left="3080" w:hanging="440"/>
      </w:pPr>
      <w:rPr>
        <w:rFonts w:hint="default"/>
      </w:rPr>
    </w:lvl>
    <w:lvl w:ilvl="7" w:tentative="0">
      <w:start w:val="1"/>
      <w:numFmt w:val="lowerLetter"/>
      <w:lvlText w:val="%8."/>
      <w:lvlJc w:val="left"/>
      <w:pPr>
        <w:tabs>
          <w:tab w:val="left" w:pos="3520"/>
        </w:tabs>
        <w:ind w:left="3520" w:hanging="440"/>
      </w:pPr>
      <w:rPr>
        <w:rFonts w:hint="default"/>
      </w:rPr>
    </w:lvl>
    <w:lvl w:ilvl="8" w:tentative="0">
      <w:start w:val="1"/>
      <w:numFmt w:val="lowerRoman"/>
      <w:lvlText w:val="%9."/>
      <w:lvlJc w:val="left"/>
      <w:pPr>
        <w:tabs>
          <w:tab w:val="left" w:pos="3960"/>
        </w:tabs>
        <w:ind w:left="3960" w:hanging="440"/>
      </w:pPr>
      <w:rPr>
        <w:rFonts w:hint="default"/>
      </w:rPr>
    </w:lvl>
  </w:abstractNum>
  <w:abstractNum w:abstractNumId="8">
    <w:nsid w:val="0248C179"/>
    <w:multiLevelType w:val="multilevel"/>
    <w:tmpl w:val="0248C17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3D62ECE"/>
    <w:multiLevelType w:val="multilevel"/>
    <w:tmpl w:val="03D62EC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5B654F3"/>
    <w:multiLevelType w:val="multilevel"/>
    <w:tmpl w:val="25B654F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2A8F537B"/>
    <w:multiLevelType w:val="multilevel"/>
    <w:tmpl w:val="2A8F537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72183CF9"/>
    <w:multiLevelType w:val="multilevel"/>
    <w:tmpl w:val="72183C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7"/>
  </w:num>
  <w:num w:numId="3">
    <w:abstractNumId w:val="3"/>
  </w:num>
  <w:num w:numId="4">
    <w:abstractNumId w:val="12"/>
  </w:num>
  <w:num w:numId="5">
    <w:abstractNumId w:val="1"/>
  </w:num>
  <w:num w:numId="6">
    <w:abstractNumId w:val="9"/>
  </w:num>
  <w:num w:numId="7">
    <w:abstractNumId w:val="10"/>
  </w:num>
  <w:num w:numId="8">
    <w:abstractNumId w:val="13"/>
  </w:num>
  <w:num w:numId="9">
    <w:abstractNumId w:val="8"/>
  </w:num>
  <w:num w:numId="10">
    <w:abstractNumId w:val="11"/>
  </w:num>
  <w:num w:numId="11">
    <w:abstractNumId w:val="2"/>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572D4"/>
    <w:rsid w:val="03F0764B"/>
    <w:rsid w:val="09A7791C"/>
    <w:rsid w:val="09F517E3"/>
    <w:rsid w:val="0A714D78"/>
    <w:rsid w:val="0E0823E2"/>
    <w:rsid w:val="16E45676"/>
    <w:rsid w:val="1D2700AC"/>
    <w:rsid w:val="1D3B3534"/>
    <w:rsid w:val="1D485448"/>
    <w:rsid w:val="1DFF358A"/>
    <w:rsid w:val="21975E14"/>
    <w:rsid w:val="243417ED"/>
    <w:rsid w:val="27DD6401"/>
    <w:rsid w:val="28155B54"/>
    <w:rsid w:val="291C07BE"/>
    <w:rsid w:val="2C363247"/>
    <w:rsid w:val="2DDB7535"/>
    <w:rsid w:val="2EDC0339"/>
    <w:rsid w:val="32227E5B"/>
    <w:rsid w:val="32582DC5"/>
    <w:rsid w:val="361576EB"/>
    <w:rsid w:val="36FFD562"/>
    <w:rsid w:val="383F534E"/>
    <w:rsid w:val="39631167"/>
    <w:rsid w:val="39EF6C01"/>
    <w:rsid w:val="3A2F4EFB"/>
    <w:rsid w:val="3A4101DC"/>
    <w:rsid w:val="3D4F16CF"/>
    <w:rsid w:val="3E72570F"/>
    <w:rsid w:val="3F5802D4"/>
    <w:rsid w:val="44C70F5D"/>
    <w:rsid w:val="452F2D49"/>
    <w:rsid w:val="46A73980"/>
    <w:rsid w:val="47A20946"/>
    <w:rsid w:val="48D61312"/>
    <w:rsid w:val="4A485B08"/>
    <w:rsid w:val="4BA26FCF"/>
    <w:rsid w:val="4BE1274B"/>
    <w:rsid w:val="4BED3B39"/>
    <w:rsid w:val="4CF66006"/>
    <w:rsid w:val="518203FB"/>
    <w:rsid w:val="526112FD"/>
    <w:rsid w:val="569854EE"/>
    <w:rsid w:val="5CB11E96"/>
    <w:rsid w:val="5CD572D4"/>
    <w:rsid w:val="5F547312"/>
    <w:rsid w:val="63FB2F12"/>
    <w:rsid w:val="64AA422D"/>
    <w:rsid w:val="6597D56B"/>
    <w:rsid w:val="666E06C1"/>
    <w:rsid w:val="669B4E54"/>
    <w:rsid w:val="6C207C6B"/>
    <w:rsid w:val="6C626859"/>
    <w:rsid w:val="6CBE49EE"/>
    <w:rsid w:val="71E457DD"/>
    <w:rsid w:val="7A656FD7"/>
    <w:rsid w:val="7A9A2B3E"/>
    <w:rsid w:val="7E6F1BED"/>
    <w:rsid w:val="7F7C36F1"/>
    <w:rsid w:val="8DFB5778"/>
    <w:rsid w:val="ADFDD1F6"/>
    <w:rsid w:val="BFFAB816"/>
    <w:rsid w:val="DFE510EA"/>
    <w:rsid w:val="E7E7D9AF"/>
    <w:rsid w:val="EEFEA675"/>
    <w:rsid w:val="F1F77376"/>
    <w:rsid w:val="FFE7BEB6"/>
    <w:rsid w:val="FFF1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480" w:after="120" w:line="240" w:lineRule="auto"/>
      <w:ind w:firstLine="0" w:firstLineChars="0"/>
      <w:jc w:val="left"/>
      <w:outlineLvl w:val="1"/>
    </w:pPr>
    <w:rPr>
      <w:rFonts w:eastAsia="黑体" w:asciiTheme="majorHAnsi" w:hAnsiTheme="majorHAnsi" w:cstheme="majorBidi"/>
      <w:b/>
      <w:bCs/>
      <w:sz w:val="28"/>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List Paragraph"/>
    <w:basedOn w:val="1"/>
    <w:qFormat/>
    <w:uiPriority w:val="0"/>
    <w:pPr>
      <w:ind w:firstLine="420"/>
    </w:pPr>
    <w:rPr>
      <w:rFonts w:eastAsiaTheme="minorEastAsia"/>
    </w:rPr>
  </w:style>
  <w:style w:type="character" w:customStyle="1" w:styleId="14">
    <w:name w:val="fontstyle01"/>
    <w:basedOn w:val="11"/>
    <w:qFormat/>
    <w:uiPriority w:val="0"/>
    <w:rPr>
      <w:rFonts w:hint="eastAsia" w:ascii="宋体" w:hAnsi="宋体" w:eastAsia="宋体"/>
      <w:color w:val="000000"/>
      <w:sz w:val="22"/>
      <w:szCs w:val="22"/>
    </w:rPr>
  </w:style>
  <w:style w:type="paragraph" w:customStyle="1" w:styleId="15">
    <w:name w:val="null3"/>
    <w:qFormat/>
    <w:uiPriority w:val="0"/>
    <w:rPr>
      <w:rFonts w:hint="eastAsia" w:ascii="等线 Light" w:hAnsi="等线 Light" w:eastAsia="Courier New" w:cs="Tahoma"/>
      <w:lang w:val="en-US" w:eastAsia="zh-Hans" w:bidi="ar-SA"/>
    </w:rPr>
  </w:style>
  <w:style w:type="paragraph" w:customStyle="1" w:styleId="16">
    <w:name w:val="表格文字"/>
    <w:basedOn w:val="17"/>
    <w:qFormat/>
    <w:uiPriority w:val="0"/>
    <w:pPr>
      <w:widowControl w:val="0"/>
      <w:spacing w:before="25" w:after="25"/>
    </w:pPr>
    <w:rPr>
      <w:bCs/>
      <w:spacing w:val="10"/>
      <w:sz w:val="24"/>
    </w:rPr>
  </w:style>
  <w:style w:type="paragraph" w:customStyle="1" w:styleId="17">
    <w:name w:val="表格文字（两侧对齐）"/>
    <w:basedOn w:val="1"/>
    <w:qFormat/>
    <w:uiPriority w:val="0"/>
    <w:pPr>
      <w:widowControl w:val="0"/>
      <w:snapToGrid w:val="0"/>
    </w:pPr>
    <w:rPr>
      <w:rFonts w:ascii="等线 Light" w:hAnsi="等线 Light"/>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区卫生和计划生育局</Company>
  <Pages>6</Pages>
  <Words>4017</Words>
  <Characters>4254</Characters>
  <Lines>0</Lines>
  <Paragraphs>0</Paragraphs>
  <TotalTime>166</TotalTime>
  <ScaleCrop>false</ScaleCrop>
  <LinksUpToDate>false</LinksUpToDate>
  <CharactersWithSpaces>4277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2025-10-30T04:42:00Z</dcterms:created>
  <dc:creator>admin</dc:creator>
  <cp:lastModifiedBy>办公室</cp:lastModifiedBy>
  <cp:lastPrinted>2025-11-20T06:23:00Z</cp:lastPrinted>
  <dcterms:modified xsi:type="dcterms:W3CDTF">2026-03-31T03:29:22Z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8AE709DC14FF4B0B810BCFE5DE688A32_13</vt:lpwstr>
  </property>
  <property fmtid="{D5CDD505-2E9C-101B-9397-08002B2CF9AE}" pid="4" name="KSOTemplateDocerSaveRecord">
    <vt:lpwstr>eyJoZGlkIjoiOTc2OWE0Y2VkN2ZhMjBjMGU5ODljMTIzNmMwYzA4OWYiLCJ1c2VySWQiOiI2NDc4NTcyODAifQ==</vt:lpwstr>
  </property>
</Properties>
</file>