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50" w:afterLines="50" w:line="360" w:lineRule="auto"/>
        <w:jc w:val="both"/>
        <w:outlineLvl w:val="2"/>
        <w:rPr>
          <w:rFonts w:hint="eastAsia" w:ascii="黑体" w:hAnsi="宋体" w:eastAsia="黑体" w:cs="宋体"/>
          <w:sz w:val="28"/>
          <w:szCs w:val="28"/>
        </w:rPr>
      </w:pPr>
    </w:p>
    <w:p>
      <w:pPr>
        <w:snapToGrid w:val="0"/>
        <w:spacing w:beforeLines="50" w:afterLines="50" w:line="360" w:lineRule="auto"/>
        <w:jc w:val="center"/>
        <w:outlineLvl w:val="2"/>
        <w:rPr>
          <w:rFonts w:hint="eastAsia" w:ascii="黑体" w:hAnsi="宋体" w:eastAsia="黑体" w:cs="宋体"/>
          <w:sz w:val="21"/>
          <w:szCs w:val="21"/>
        </w:rPr>
      </w:pPr>
      <w:r>
        <w:rPr>
          <w:rFonts w:hint="eastAsia" w:ascii="黑体" w:hAnsi="宋体" w:eastAsia="黑体" w:cs="宋体"/>
          <w:sz w:val="28"/>
          <w:szCs w:val="28"/>
        </w:rPr>
        <w:t>综合评分表</w:t>
      </w:r>
    </w:p>
    <w:p>
      <w:pPr>
        <w:snapToGrid w:val="0"/>
        <w:spacing w:beforeLines="50" w:afterLines="50" w:line="360" w:lineRule="auto"/>
        <w:jc w:val="both"/>
        <w:outlineLvl w:val="2"/>
        <w:rPr>
          <w:rFonts w:hint="eastAsia" w:ascii="黑体" w:hAnsi="宋体" w:eastAsia="黑体" w:cs="宋体"/>
          <w:sz w:val="24"/>
          <w:szCs w:val="24"/>
          <w:lang w:val="en-US" w:eastAsia="zh-CN"/>
        </w:rPr>
      </w:pPr>
      <w:r>
        <w:rPr>
          <w:rFonts w:hint="eastAsia" w:ascii="黑体" w:hAnsi="宋体" w:eastAsia="黑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cs="宋体"/>
          <w:sz w:val="24"/>
          <w:szCs w:val="24"/>
        </w:rPr>
        <w:t>食堂食材供应服务采购</w:t>
      </w:r>
    </w:p>
    <w:tbl>
      <w:tblPr>
        <w:tblStyle w:val="2"/>
        <w:tblW w:w="8946" w:type="dxa"/>
        <w:tblInd w:w="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678"/>
        <w:gridCol w:w="1598"/>
        <w:gridCol w:w="5110"/>
        <w:gridCol w:w="709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15" w:hRule="atLeast"/>
        </w:trPr>
        <w:tc>
          <w:tcPr>
            <w:tcW w:w="67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序号</w:t>
            </w:r>
          </w:p>
        </w:tc>
        <w:tc>
          <w:tcPr>
            <w:tcW w:w="1598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评审因素</w:t>
            </w:r>
          </w:p>
        </w:tc>
        <w:tc>
          <w:tcPr>
            <w:tcW w:w="5110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评分细则</w:t>
            </w:r>
          </w:p>
        </w:tc>
        <w:tc>
          <w:tcPr>
            <w:tcW w:w="709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权重（%）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分值（分）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83" w:hRule="atLeast"/>
        </w:trPr>
        <w:tc>
          <w:tcPr>
            <w:tcW w:w="678" w:type="dxa"/>
            <w:tcBorders>
              <w:lef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64" w:lineRule="auto"/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一</w:t>
            </w:r>
          </w:p>
        </w:tc>
        <w:tc>
          <w:tcPr>
            <w:tcW w:w="8268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64" w:lineRule="auto"/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技术部分(合计</w:t>
            </w:r>
            <w:r>
              <w:rPr>
                <w:rFonts w:hint="eastAsia" w:ascii="黑体" w:hAnsi="宋体" w:eastAsia="黑体" w:cs="宋体"/>
                <w:sz w:val="24"/>
                <w:lang w:val="en-US" w:eastAsia="zh-CN"/>
              </w:rPr>
              <w:t>54</w:t>
            </w:r>
            <w:r>
              <w:rPr>
                <w:rFonts w:hint="eastAsia" w:ascii="黑体" w:hAnsi="宋体" w:eastAsia="黑体" w:cs="宋体"/>
                <w:sz w:val="24"/>
              </w:rPr>
              <w:t>分)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61" w:hRule="atLeast"/>
        </w:trPr>
        <w:tc>
          <w:tcPr>
            <w:tcW w:w="678" w:type="dxa"/>
            <w:tcBorders>
              <w:left w:val="single" w:color="auto" w:sz="12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napToGrid w:val="0"/>
              <w:spacing w:line="264" w:lineRule="auto"/>
              <w:ind w:left="2662" w:firstLineChars="0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598" w:type="dxa"/>
            <w:vAlign w:val="center"/>
          </w:tcPr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</w:t>
            </w:r>
            <w:r>
              <w:rPr>
                <w:rFonts w:hint="eastAsia" w:ascii="宋体" w:hAnsi="宋体"/>
                <w:lang w:eastAsia="zh-CN"/>
              </w:rPr>
              <w:t>配送</w:t>
            </w:r>
            <w:r>
              <w:rPr>
                <w:rFonts w:hint="eastAsia" w:ascii="宋体" w:hAnsi="宋体"/>
              </w:rPr>
              <w:t>方案</w:t>
            </w:r>
          </w:p>
        </w:tc>
        <w:tc>
          <w:tcPr>
            <w:tcW w:w="5110" w:type="dxa"/>
            <w:vAlign w:val="center"/>
          </w:tcPr>
          <w:p>
            <w:pPr>
              <w:snapToGrid w:val="0"/>
              <w:spacing w:line="264" w:lineRule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根据投标人提供的配送方案是否合理，流程是否详细，人员配备是否充足进行横向比较。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1.项目</w:t>
            </w:r>
            <w:r>
              <w:rPr>
                <w:rFonts w:hint="eastAsia" w:ascii="宋体" w:hAnsi="宋体"/>
                <w:lang w:eastAsia="zh-CN"/>
              </w:rPr>
              <w:t>配送</w:t>
            </w:r>
            <w:r>
              <w:rPr>
                <w:rFonts w:hint="eastAsia" w:ascii="宋体" w:hAnsi="宋体"/>
              </w:rPr>
              <w:t>方案详尽，可行性高，得</w:t>
            </w:r>
            <w:r>
              <w:rPr>
                <w:rFonts w:hint="eastAsia" w:ascii="宋体" w:hAnsi="宋体"/>
                <w:lang w:val="en-US" w:eastAsia="zh-CN"/>
              </w:rPr>
              <w:t>12</w:t>
            </w:r>
            <w:r>
              <w:rPr>
                <w:rFonts w:hint="eastAsia" w:ascii="宋体" w:hAnsi="宋体"/>
              </w:rPr>
              <w:t>分；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2.项目</w:t>
            </w:r>
            <w:r>
              <w:rPr>
                <w:rFonts w:hint="eastAsia" w:ascii="宋体" w:hAnsi="宋体"/>
                <w:lang w:eastAsia="zh-CN"/>
              </w:rPr>
              <w:t>配送</w:t>
            </w:r>
            <w:r>
              <w:rPr>
                <w:rFonts w:hint="eastAsia" w:ascii="宋体" w:hAnsi="宋体"/>
              </w:rPr>
              <w:t>方案较详尽，可行性较高，得</w:t>
            </w: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分；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3.项目</w:t>
            </w:r>
            <w:r>
              <w:rPr>
                <w:rFonts w:hint="eastAsia" w:ascii="宋体" w:hAnsi="宋体"/>
                <w:lang w:eastAsia="zh-CN"/>
              </w:rPr>
              <w:t>配送</w:t>
            </w:r>
            <w:r>
              <w:rPr>
                <w:rFonts w:hint="eastAsia" w:ascii="宋体" w:hAnsi="宋体"/>
              </w:rPr>
              <w:t>方案不够详尽，可行性较低，得3分；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4.不提供不得分。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</w:rPr>
              <w:t>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61" w:hRule="atLeast"/>
        </w:trPr>
        <w:tc>
          <w:tcPr>
            <w:tcW w:w="678" w:type="dxa"/>
            <w:tcBorders>
              <w:left w:val="single" w:color="auto" w:sz="12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napToGrid w:val="0"/>
              <w:spacing w:line="264" w:lineRule="auto"/>
              <w:ind w:left="2662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8" w:type="dxa"/>
            <w:vAlign w:val="center"/>
          </w:tcPr>
          <w:p>
            <w:pPr>
              <w:snapToGrid w:val="0"/>
              <w:spacing w:line="264" w:lineRule="auto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食品来源渠道</w:t>
            </w:r>
          </w:p>
        </w:tc>
        <w:tc>
          <w:tcPr>
            <w:tcW w:w="5110" w:type="dxa"/>
            <w:vAlign w:val="center"/>
          </w:tcPr>
          <w:p>
            <w:pPr>
              <w:snapToGrid w:val="0"/>
              <w:spacing w:line="264" w:lineRule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投标人提供的食材可溯源，并由具体措施，进行横向比较。</w:t>
            </w:r>
          </w:p>
          <w:p>
            <w:pPr>
              <w:numPr>
                <w:numId w:val="0"/>
              </w:numPr>
              <w:snapToGrid w:val="0"/>
              <w:spacing w:line="264" w:lineRule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1.项目溯源清晰，得10分；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2.</w:t>
            </w:r>
            <w:r>
              <w:rPr>
                <w:rFonts w:hint="eastAsia" w:ascii="宋体" w:hAnsi="宋体"/>
              </w:rPr>
              <w:t>项目</w:t>
            </w:r>
            <w:r>
              <w:rPr>
                <w:rFonts w:hint="eastAsia" w:ascii="宋体" w:hAnsi="宋体"/>
                <w:lang w:val="en-US" w:eastAsia="zh-CN"/>
              </w:rPr>
              <w:t>溯源</w:t>
            </w:r>
            <w:r>
              <w:rPr>
                <w:rFonts w:hint="eastAsia" w:ascii="宋体" w:hAnsi="宋体"/>
              </w:rPr>
              <w:t>较</w:t>
            </w:r>
            <w:r>
              <w:rPr>
                <w:rFonts w:hint="eastAsia" w:ascii="宋体" w:hAnsi="宋体"/>
                <w:lang w:eastAsia="zh-CN"/>
              </w:rPr>
              <w:t>清晰</w:t>
            </w:r>
            <w:r>
              <w:rPr>
                <w:rFonts w:hint="eastAsia" w:ascii="宋体" w:hAnsi="宋体"/>
              </w:rPr>
              <w:t>，得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分；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3.</w:t>
            </w:r>
            <w:bookmarkStart w:id="0" w:name="_GoBack"/>
            <w:bookmarkEnd w:id="0"/>
            <w:r>
              <w:rPr>
                <w:rFonts w:hint="eastAsia" w:ascii="宋体" w:hAnsi="宋体"/>
              </w:rPr>
              <w:t>项目</w:t>
            </w:r>
            <w:r>
              <w:rPr>
                <w:rFonts w:hint="eastAsia" w:ascii="宋体" w:hAnsi="宋体"/>
                <w:lang w:val="en-US" w:eastAsia="zh-CN"/>
              </w:rPr>
              <w:t>溯源</w:t>
            </w:r>
            <w:r>
              <w:rPr>
                <w:rFonts w:hint="eastAsia" w:ascii="宋体" w:hAnsi="宋体"/>
              </w:rPr>
              <w:t>不够详尽</w:t>
            </w:r>
            <w:r>
              <w:rPr>
                <w:rFonts w:hint="eastAsia" w:ascii="宋体" w:hAnsi="宋体"/>
                <w:lang w:eastAsia="zh-CN"/>
              </w:rPr>
              <w:t>，</w:t>
            </w:r>
            <w:r>
              <w:rPr>
                <w:rFonts w:hint="eastAsia" w:ascii="宋体" w:hAnsi="宋体"/>
              </w:rPr>
              <w:t>得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分；</w:t>
            </w:r>
          </w:p>
          <w:p>
            <w:pPr>
              <w:numPr>
                <w:ilvl w:val="0"/>
                <w:numId w:val="0"/>
              </w:numPr>
              <w:snapToGrid w:val="0"/>
              <w:spacing w:line="264" w:lineRule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</w:rPr>
              <w:t>4.不提供不得分。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</w:rPr>
              <w:t>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78" w:hRule="atLeast"/>
        </w:trPr>
        <w:tc>
          <w:tcPr>
            <w:tcW w:w="678" w:type="dxa"/>
            <w:tcBorders>
              <w:left w:val="single" w:color="auto" w:sz="12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napToGrid w:val="0"/>
              <w:spacing w:line="264" w:lineRule="auto"/>
              <w:ind w:left="2662" w:firstLineChars="0"/>
              <w:jc w:val="center"/>
              <w:rPr>
                <w:rFonts w:ascii="宋体" w:hAnsi="宋体"/>
                <w:color w:val="FF0000"/>
                <w:szCs w:val="21"/>
                <w:highlight w:val="yellow"/>
              </w:rPr>
            </w:pPr>
          </w:p>
        </w:tc>
        <w:tc>
          <w:tcPr>
            <w:tcW w:w="1598" w:type="dxa"/>
            <w:vAlign w:val="center"/>
          </w:tcPr>
          <w:p>
            <w:pPr>
              <w:snapToGrid w:val="0"/>
              <w:spacing w:line="264" w:lineRule="auto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应急方案</w:t>
            </w:r>
          </w:p>
        </w:tc>
        <w:tc>
          <w:tcPr>
            <w:tcW w:w="5110" w:type="dxa"/>
            <w:vAlign w:val="center"/>
          </w:tcPr>
          <w:p>
            <w:pPr>
              <w:snapToGrid w:val="0"/>
              <w:spacing w:line="264" w:lineRule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考查投标人处理突发事件的应急管理制度的详细程度及合理性。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1.应急方案详细、可行性高，得1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分；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2.应急方案较详细、可行性较高，得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分；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3.应急方案不够详细、可行性较低，得3分；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4.不提供不得分。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</w:rPr>
              <w:t>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78" w:hRule="atLeast"/>
        </w:trPr>
        <w:tc>
          <w:tcPr>
            <w:tcW w:w="678" w:type="dxa"/>
            <w:tcBorders>
              <w:left w:val="single" w:color="auto" w:sz="12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napToGrid w:val="0"/>
              <w:spacing w:line="264" w:lineRule="auto"/>
              <w:ind w:left="2662" w:firstLineChars="0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598" w:type="dxa"/>
            <w:vAlign w:val="center"/>
          </w:tcPr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质量保证措施</w:t>
            </w:r>
          </w:p>
        </w:tc>
        <w:tc>
          <w:tcPr>
            <w:tcW w:w="5110" w:type="dxa"/>
            <w:vAlign w:val="center"/>
          </w:tcPr>
          <w:p>
            <w:pPr>
              <w:snapToGrid w:val="0"/>
              <w:spacing w:line="264" w:lineRule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针对本次项目需求提供完善的质量与食物安全保障方案。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1.质量保证措施方案详细、可行性高，得1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分；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2.质量保证措施方案较详细、可行性较高，得</w:t>
            </w: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分；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3.质量保证措施方案不够详细、可行性较低，得3分；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4.不提供不得分。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</w:rPr>
              <w:t>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61" w:hRule="atLeast"/>
        </w:trPr>
        <w:tc>
          <w:tcPr>
            <w:tcW w:w="678" w:type="dxa"/>
            <w:tcBorders>
              <w:left w:val="single" w:color="auto" w:sz="12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napToGrid w:val="0"/>
              <w:spacing w:line="264" w:lineRule="auto"/>
              <w:ind w:left="2662" w:firstLineChars="0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598" w:type="dxa"/>
            <w:vAlign w:val="center"/>
          </w:tcPr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售后服务方案</w:t>
            </w:r>
          </w:p>
        </w:tc>
        <w:tc>
          <w:tcPr>
            <w:tcW w:w="5110" w:type="dxa"/>
            <w:vAlign w:val="center"/>
          </w:tcPr>
          <w:p>
            <w:pPr>
              <w:snapToGrid w:val="0"/>
              <w:spacing w:line="264" w:lineRule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对各投标人的服务承诺内容进行横向对比。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1.售后服务方案详细、可行性高，得1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分；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2.售后服务方案较详细、可行性较高，得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分；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3.售后服务方案不够详细、可行性较低，得3分；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4.不提供不得分。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10分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77" w:hRule="atLeast"/>
        </w:trPr>
        <w:tc>
          <w:tcPr>
            <w:tcW w:w="678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64" w:lineRule="auto"/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二</w:t>
            </w:r>
          </w:p>
        </w:tc>
        <w:tc>
          <w:tcPr>
            <w:tcW w:w="8268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商务部分(合计</w:t>
            </w:r>
            <w:r>
              <w:rPr>
                <w:rFonts w:hint="eastAsia" w:ascii="黑体" w:hAnsi="宋体" w:eastAsia="黑体" w:cs="宋体"/>
                <w:sz w:val="24"/>
                <w:lang w:val="en-US" w:eastAsia="zh-CN"/>
              </w:rPr>
              <w:t>16</w:t>
            </w:r>
            <w:r>
              <w:rPr>
                <w:rFonts w:hint="eastAsia" w:ascii="黑体" w:hAnsi="宋体" w:eastAsia="黑体" w:cs="宋体"/>
                <w:sz w:val="24"/>
              </w:rPr>
              <w:t>分)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61" w:hRule="atLeast"/>
        </w:trPr>
        <w:tc>
          <w:tcPr>
            <w:tcW w:w="678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2"/>
              </w:numPr>
              <w:tabs>
                <w:tab w:val="clear" w:pos="420"/>
              </w:tabs>
              <w:snapToGrid w:val="0"/>
              <w:spacing w:line="264" w:lineRule="auto"/>
              <w:ind w:left="2662" w:firstLineChars="0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598" w:type="dxa"/>
            <w:vAlign w:val="center"/>
          </w:tcPr>
          <w:p>
            <w:pPr>
              <w:snapToGrid w:val="0"/>
              <w:spacing w:line="264" w:lineRule="auto"/>
              <w:ind w:left="-63" w:leftChars="-30" w:right="-88" w:rightChars="-42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同类项目业绩</w:t>
            </w:r>
          </w:p>
        </w:tc>
        <w:tc>
          <w:tcPr>
            <w:tcW w:w="5110" w:type="dxa"/>
            <w:vAlign w:val="center"/>
          </w:tcPr>
          <w:p>
            <w:pPr>
              <w:snapToGrid w:val="0"/>
              <w:spacing w:line="264" w:lineRule="auto"/>
              <w:ind w:left="40" w:leftChars="19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根据供应商</w:t>
            </w:r>
            <w:r>
              <w:rPr>
                <w:rFonts w:hint="eastAsia" w:ascii="宋体" w:hAnsi="宋体"/>
                <w:lang w:val="en-US" w:eastAsia="zh-CN"/>
              </w:rPr>
              <w:t>2020年度至今的合同，</w:t>
            </w:r>
            <w:r>
              <w:rPr>
                <w:rFonts w:hint="eastAsia" w:ascii="宋体" w:hAnsi="宋体"/>
              </w:rPr>
              <w:t>每提供一项得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分，最高得</w:t>
            </w: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分；</w:t>
            </w:r>
          </w:p>
          <w:p>
            <w:pPr>
              <w:snapToGrid w:val="0"/>
              <w:spacing w:line="264" w:lineRule="auto"/>
              <w:ind w:left="40" w:leftChars="19" w:right="-88" w:rightChars="-42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/>
              </w:rPr>
              <w:t>无或其它不得分。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</w:rPr>
              <w:t>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61" w:hRule="atLeast"/>
        </w:trPr>
        <w:tc>
          <w:tcPr>
            <w:tcW w:w="67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2"/>
              </w:numPr>
              <w:tabs>
                <w:tab w:val="clear" w:pos="420"/>
              </w:tabs>
              <w:snapToGrid w:val="0"/>
              <w:spacing w:line="264" w:lineRule="auto"/>
              <w:ind w:left="2662" w:firstLineChars="0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598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管理体系认证</w:t>
            </w:r>
          </w:p>
        </w:tc>
        <w:tc>
          <w:tcPr>
            <w:tcW w:w="5110" w:type="dxa"/>
            <w:vAlign w:val="center"/>
          </w:tcPr>
          <w:p>
            <w:pPr>
              <w:widowControl/>
              <w:snapToGrid w:val="0"/>
              <w:spacing w:line="264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供应商获得质量管理体系认证、环境管理体系认证和职业健康安全管理体系认证的情况</w:t>
            </w:r>
            <w:r>
              <w:rPr>
                <w:rFonts w:hint="eastAsia" w:ascii="宋体" w:hAnsi="宋体" w:cs="宋体"/>
                <w:lang w:eastAsia="zh-CN"/>
              </w:rPr>
              <w:t>及其他征信认证证书：</w:t>
            </w:r>
            <w:r>
              <w:rPr>
                <w:rFonts w:hint="eastAsia" w:ascii="宋体" w:hAnsi="宋体"/>
              </w:rPr>
              <w:t>具有其中任一项得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分，最高得</w:t>
            </w: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分，没有或不提供得0分。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</w:rPr>
              <w:t>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33" w:hRule="atLeast"/>
        </w:trPr>
        <w:tc>
          <w:tcPr>
            <w:tcW w:w="678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64" w:lineRule="auto"/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三</w:t>
            </w:r>
          </w:p>
        </w:tc>
        <w:tc>
          <w:tcPr>
            <w:tcW w:w="8268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价格部分</w:t>
            </w:r>
            <w:r>
              <w:rPr>
                <w:rFonts w:hint="eastAsia" w:ascii="黑体" w:hAnsi="宋体" w:eastAsia="黑体" w:cs="宋体"/>
                <w:sz w:val="24"/>
                <w:lang w:eastAsia="zh-CN"/>
              </w:rPr>
              <w:t>（合计</w:t>
            </w:r>
            <w:r>
              <w:rPr>
                <w:rFonts w:hint="eastAsia" w:ascii="黑体" w:hAnsi="宋体" w:eastAsia="黑体" w:cs="宋体"/>
                <w:sz w:val="24"/>
                <w:lang w:val="en-US" w:eastAsia="zh-CN"/>
              </w:rPr>
              <w:t>30分）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20" w:hRule="atLeast"/>
        </w:trPr>
        <w:tc>
          <w:tcPr>
            <w:tcW w:w="678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598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投标报价</w:t>
            </w:r>
          </w:p>
        </w:tc>
        <w:tc>
          <w:tcPr>
            <w:tcW w:w="5110" w:type="dxa"/>
            <w:vAlign w:val="center"/>
          </w:tcPr>
          <w:p>
            <w:pPr>
              <w:snapToGrid w:val="0"/>
              <w:spacing w:line="264" w:lineRule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价格分</w:t>
            </w:r>
            <w:r>
              <w:rPr>
                <w:rFonts w:hint="eastAsia" w:ascii="宋体" w:hAnsi="宋体" w:cs="宋体"/>
              </w:rPr>
              <w:t>应当采用低价优先法计算，即满足招标文件要求且投标价格最低的投标报价为评标基准价，其价格分为满分。其他投标人的价格分统一按照下列公式计算：</w:t>
            </w:r>
          </w:p>
          <w:p>
            <w:pPr>
              <w:widowControl/>
              <w:snapToGrid w:val="0"/>
              <w:spacing w:line="264" w:lineRule="auto"/>
              <w:ind w:firstLine="316" w:firstLineChars="150"/>
              <w:rPr>
                <w:rFonts w:ascii="宋体" w:hAnsi="宋体"/>
                <w:bCs/>
                <w:color w:val="FF0000"/>
              </w:rPr>
            </w:pPr>
            <w:r>
              <w:rPr>
                <w:rFonts w:hint="eastAsia" w:ascii="宋体" w:hAnsi="宋体" w:cs="宋体"/>
                <w:b/>
              </w:rPr>
              <w:t>投标报价得分=(评标基准价／投标报价)×100×价格权重。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</w:rPr>
              <w:t>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53" w:hRule="atLeast"/>
        </w:trPr>
        <w:tc>
          <w:tcPr>
            <w:tcW w:w="7386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/>
                <w:b/>
              </w:rPr>
              <w:t>合计</w:t>
            </w:r>
          </w:p>
        </w:tc>
        <w:tc>
          <w:tcPr>
            <w:tcW w:w="709" w:type="dxa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100%</w:t>
            </w:r>
            <w:r>
              <w:rPr>
                <w:rFonts w:ascii="宋体" w:hAnsi="宋体" w:cs="宋体"/>
                <w:b/>
              </w:rPr>
              <w:t xml:space="preserve"> </w:t>
            </w:r>
          </w:p>
        </w:tc>
        <w:tc>
          <w:tcPr>
            <w:tcW w:w="851" w:type="dxa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100分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napToGrid w:val="0"/>
        <w:spacing w:beforeLines="50" w:afterLines="50" w:line="360" w:lineRule="auto"/>
        <w:jc w:val="both"/>
        <w:outlineLvl w:val="2"/>
        <w:rPr>
          <w:rFonts w:hint="eastAsia" w:ascii="黑体" w:hAnsi="宋体" w:eastAsia="黑体" w:cs="宋体"/>
          <w:sz w:val="28"/>
          <w:szCs w:val="28"/>
        </w:rPr>
      </w:pPr>
    </w:p>
    <w:p>
      <w:pPr>
        <w:snapToGrid w:val="0"/>
        <w:spacing w:beforeLines="50" w:afterLines="50" w:line="360" w:lineRule="auto"/>
        <w:jc w:val="center"/>
        <w:outlineLvl w:val="2"/>
        <w:rPr>
          <w:rFonts w:hint="eastAsia" w:ascii="黑体" w:hAnsi="宋体" w:eastAsia="黑体" w:cs="宋体"/>
          <w:sz w:val="21"/>
          <w:szCs w:val="21"/>
        </w:rPr>
      </w:pPr>
      <w:r>
        <w:rPr>
          <w:rFonts w:hint="eastAsia" w:ascii="黑体" w:hAnsi="宋体" w:eastAsia="黑体" w:cs="宋体"/>
          <w:sz w:val="28"/>
          <w:szCs w:val="28"/>
        </w:rPr>
        <w:t>综合评分表</w:t>
      </w:r>
    </w:p>
    <w:p>
      <w:pPr>
        <w:snapToGrid w:val="0"/>
        <w:spacing w:beforeLines="50" w:afterLines="50" w:line="360" w:lineRule="auto"/>
        <w:jc w:val="both"/>
        <w:outlineLvl w:val="2"/>
        <w:rPr>
          <w:rFonts w:hint="eastAsia" w:ascii="黑体" w:hAnsi="宋体" w:eastAsia="黑体" w:cs="宋体"/>
          <w:sz w:val="24"/>
          <w:szCs w:val="24"/>
          <w:lang w:val="en-US" w:eastAsia="zh-CN"/>
        </w:rPr>
      </w:pPr>
      <w:r>
        <w:rPr>
          <w:rFonts w:hint="eastAsia" w:ascii="黑体" w:hAnsi="宋体" w:eastAsia="黑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cs="宋体"/>
          <w:szCs w:val="21"/>
          <w:lang w:val="en-US" w:eastAsia="zh-CN"/>
        </w:rPr>
        <w:t>食堂奶类、早餐供应服务采购</w:t>
      </w:r>
    </w:p>
    <w:tbl>
      <w:tblPr>
        <w:tblStyle w:val="2"/>
        <w:tblW w:w="8946" w:type="dxa"/>
        <w:tblInd w:w="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678"/>
        <w:gridCol w:w="1598"/>
        <w:gridCol w:w="5110"/>
        <w:gridCol w:w="709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15" w:hRule="atLeast"/>
        </w:trPr>
        <w:tc>
          <w:tcPr>
            <w:tcW w:w="67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序号</w:t>
            </w:r>
          </w:p>
        </w:tc>
        <w:tc>
          <w:tcPr>
            <w:tcW w:w="1598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评审因素</w:t>
            </w:r>
          </w:p>
        </w:tc>
        <w:tc>
          <w:tcPr>
            <w:tcW w:w="5110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评分细则</w:t>
            </w:r>
          </w:p>
        </w:tc>
        <w:tc>
          <w:tcPr>
            <w:tcW w:w="709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权重（%）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分值（分）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83" w:hRule="atLeast"/>
        </w:trPr>
        <w:tc>
          <w:tcPr>
            <w:tcW w:w="678" w:type="dxa"/>
            <w:tcBorders>
              <w:lef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64" w:lineRule="auto"/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一</w:t>
            </w:r>
          </w:p>
        </w:tc>
        <w:tc>
          <w:tcPr>
            <w:tcW w:w="8268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64" w:lineRule="auto"/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技术部分(合计</w:t>
            </w:r>
            <w:r>
              <w:rPr>
                <w:rFonts w:hint="eastAsia" w:ascii="黑体" w:hAnsi="宋体" w:eastAsia="黑体" w:cs="宋体"/>
                <w:sz w:val="24"/>
                <w:lang w:val="en-US" w:eastAsia="zh-CN"/>
              </w:rPr>
              <w:t>54</w:t>
            </w:r>
            <w:r>
              <w:rPr>
                <w:rFonts w:hint="eastAsia" w:ascii="黑体" w:hAnsi="宋体" w:eastAsia="黑体" w:cs="宋体"/>
                <w:sz w:val="24"/>
              </w:rPr>
              <w:t>分)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61" w:hRule="atLeast"/>
        </w:trPr>
        <w:tc>
          <w:tcPr>
            <w:tcW w:w="678" w:type="dxa"/>
            <w:tcBorders>
              <w:left w:val="single" w:color="auto" w:sz="12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napToGrid w:val="0"/>
              <w:spacing w:line="264" w:lineRule="auto"/>
              <w:ind w:left="2662" w:firstLineChars="0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598" w:type="dxa"/>
            <w:vAlign w:val="center"/>
          </w:tcPr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</w:t>
            </w:r>
            <w:r>
              <w:rPr>
                <w:rFonts w:hint="eastAsia" w:ascii="宋体" w:hAnsi="宋体"/>
                <w:lang w:eastAsia="zh-CN"/>
              </w:rPr>
              <w:t>配送</w:t>
            </w:r>
            <w:r>
              <w:rPr>
                <w:rFonts w:hint="eastAsia" w:ascii="宋体" w:hAnsi="宋体"/>
              </w:rPr>
              <w:t>方案</w:t>
            </w:r>
          </w:p>
        </w:tc>
        <w:tc>
          <w:tcPr>
            <w:tcW w:w="5110" w:type="dxa"/>
            <w:vAlign w:val="center"/>
          </w:tcPr>
          <w:p>
            <w:pPr>
              <w:snapToGrid w:val="0"/>
              <w:spacing w:line="264" w:lineRule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根据投标人提供的配送方案是否合理，流程是否详细，人员配备是否充足进行横向比较。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1.项目</w:t>
            </w:r>
            <w:r>
              <w:rPr>
                <w:rFonts w:hint="eastAsia" w:ascii="宋体" w:hAnsi="宋体"/>
                <w:lang w:eastAsia="zh-CN"/>
              </w:rPr>
              <w:t>配送</w:t>
            </w:r>
            <w:r>
              <w:rPr>
                <w:rFonts w:hint="eastAsia" w:ascii="宋体" w:hAnsi="宋体"/>
              </w:rPr>
              <w:t>方案详尽，可行性高，得</w:t>
            </w:r>
            <w:r>
              <w:rPr>
                <w:rFonts w:hint="eastAsia" w:ascii="宋体" w:hAnsi="宋体"/>
                <w:lang w:val="en-US" w:eastAsia="zh-CN"/>
              </w:rPr>
              <w:t>12</w:t>
            </w:r>
            <w:r>
              <w:rPr>
                <w:rFonts w:hint="eastAsia" w:ascii="宋体" w:hAnsi="宋体"/>
              </w:rPr>
              <w:t>分；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2.项目</w:t>
            </w:r>
            <w:r>
              <w:rPr>
                <w:rFonts w:hint="eastAsia" w:ascii="宋体" w:hAnsi="宋体"/>
                <w:lang w:eastAsia="zh-CN"/>
              </w:rPr>
              <w:t>配送</w:t>
            </w:r>
            <w:r>
              <w:rPr>
                <w:rFonts w:hint="eastAsia" w:ascii="宋体" w:hAnsi="宋体"/>
              </w:rPr>
              <w:t>方案较详尽，可行性较高，得</w:t>
            </w: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分；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3.项目</w:t>
            </w:r>
            <w:r>
              <w:rPr>
                <w:rFonts w:hint="eastAsia" w:ascii="宋体" w:hAnsi="宋体"/>
                <w:lang w:eastAsia="zh-CN"/>
              </w:rPr>
              <w:t>配送</w:t>
            </w:r>
            <w:r>
              <w:rPr>
                <w:rFonts w:hint="eastAsia" w:ascii="宋体" w:hAnsi="宋体"/>
              </w:rPr>
              <w:t>方案不够详尽，可行性较低，得3分；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4.不提供不得分。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</w:rPr>
              <w:t>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61" w:hRule="atLeast"/>
        </w:trPr>
        <w:tc>
          <w:tcPr>
            <w:tcW w:w="678" w:type="dxa"/>
            <w:tcBorders>
              <w:left w:val="single" w:color="auto" w:sz="12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napToGrid w:val="0"/>
              <w:spacing w:line="264" w:lineRule="auto"/>
              <w:ind w:left="2662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8" w:type="dxa"/>
            <w:vAlign w:val="center"/>
          </w:tcPr>
          <w:p>
            <w:pPr>
              <w:snapToGrid w:val="0"/>
              <w:spacing w:line="264" w:lineRule="auto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食品来源渠道</w:t>
            </w:r>
          </w:p>
        </w:tc>
        <w:tc>
          <w:tcPr>
            <w:tcW w:w="5110" w:type="dxa"/>
            <w:vAlign w:val="center"/>
          </w:tcPr>
          <w:p>
            <w:pPr>
              <w:snapToGrid w:val="0"/>
              <w:spacing w:line="264" w:lineRule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投标人提供的食材可溯源，并由具体措施，进行横向比较。</w:t>
            </w:r>
          </w:p>
          <w:p>
            <w:pPr>
              <w:numPr>
                <w:ilvl w:val="0"/>
                <w:numId w:val="3"/>
              </w:numPr>
              <w:snapToGrid w:val="0"/>
              <w:spacing w:line="264" w:lineRule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项目溯源清晰，得10分；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2、</w:t>
            </w:r>
            <w:r>
              <w:rPr>
                <w:rFonts w:hint="eastAsia" w:ascii="宋体" w:hAnsi="宋体"/>
              </w:rPr>
              <w:t>项目</w:t>
            </w:r>
            <w:r>
              <w:rPr>
                <w:rFonts w:hint="eastAsia" w:ascii="宋体" w:hAnsi="宋体"/>
                <w:lang w:val="en-US" w:eastAsia="zh-CN"/>
              </w:rPr>
              <w:t>溯源</w:t>
            </w:r>
            <w:r>
              <w:rPr>
                <w:rFonts w:hint="eastAsia" w:ascii="宋体" w:hAnsi="宋体"/>
              </w:rPr>
              <w:t>较</w:t>
            </w:r>
            <w:r>
              <w:rPr>
                <w:rFonts w:hint="eastAsia" w:ascii="宋体" w:hAnsi="宋体"/>
                <w:lang w:eastAsia="zh-CN"/>
              </w:rPr>
              <w:t>清晰</w:t>
            </w:r>
            <w:r>
              <w:rPr>
                <w:rFonts w:hint="eastAsia" w:ascii="宋体" w:hAnsi="宋体"/>
              </w:rPr>
              <w:t>，得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分；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3.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项目</w:t>
            </w:r>
            <w:r>
              <w:rPr>
                <w:rFonts w:hint="eastAsia" w:ascii="宋体" w:hAnsi="宋体"/>
                <w:lang w:val="en-US" w:eastAsia="zh-CN"/>
              </w:rPr>
              <w:t>溯源</w:t>
            </w:r>
            <w:r>
              <w:rPr>
                <w:rFonts w:hint="eastAsia" w:ascii="宋体" w:hAnsi="宋体"/>
              </w:rPr>
              <w:t>不够详尽</w:t>
            </w:r>
            <w:r>
              <w:rPr>
                <w:rFonts w:hint="eastAsia" w:ascii="宋体" w:hAnsi="宋体"/>
                <w:lang w:eastAsia="zh-CN"/>
              </w:rPr>
              <w:t>，</w:t>
            </w:r>
            <w:r>
              <w:rPr>
                <w:rFonts w:hint="eastAsia" w:ascii="宋体" w:hAnsi="宋体"/>
              </w:rPr>
              <w:t>得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分；</w:t>
            </w:r>
          </w:p>
          <w:p>
            <w:pPr>
              <w:numPr>
                <w:ilvl w:val="0"/>
                <w:numId w:val="0"/>
              </w:numPr>
              <w:snapToGrid w:val="0"/>
              <w:spacing w:line="264" w:lineRule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</w:rPr>
              <w:t>4.不提供不得分。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</w:rPr>
              <w:t>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78" w:hRule="atLeast"/>
        </w:trPr>
        <w:tc>
          <w:tcPr>
            <w:tcW w:w="678" w:type="dxa"/>
            <w:tcBorders>
              <w:left w:val="single" w:color="auto" w:sz="12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napToGrid w:val="0"/>
              <w:spacing w:line="264" w:lineRule="auto"/>
              <w:ind w:left="2662" w:firstLineChars="0"/>
              <w:jc w:val="center"/>
              <w:rPr>
                <w:rFonts w:ascii="宋体" w:hAnsi="宋体"/>
                <w:color w:val="FF0000"/>
                <w:szCs w:val="21"/>
                <w:highlight w:val="yellow"/>
              </w:rPr>
            </w:pPr>
          </w:p>
        </w:tc>
        <w:tc>
          <w:tcPr>
            <w:tcW w:w="1598" w:type="dxa"/>
            <w:vAlign w:val="center"/>
          </w:tcPr>
          <w:p>
            <w:pPr>
              <w:snapToGrid w:val="0"/>
              <w:spacing w:line="264" w:lineRule="auto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应急方案</w:t>
            </w:r>
          </w:p>
        </w:tc>
        <w:tc>
          <w:tcPr>
            <w:tcW w:w="5110" w:type="dxa"/>
            <w:vAlign w:val="center"/>
          </w:tcPr>
          <w:p>
            <w:pPr>
              <w:snapToGrid w:val="0"/>
              <w:spacing w:line="264" w:lineRule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考查投标人处理突发事件的应急管理制度的详细程度及合理性。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1.应急方案详细、可行性高，得1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分；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2.应急方案较详细、可行性较高，得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分；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3.应急方案不够详细、可行性较低，得3分；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4.不提供不得分。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</w:rPr>
              <w:t>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78" w:hRule="atLeast"/>
        </w:trPr>
        <w:tc>
          <w:tcPr>
            <w:tcW w:w="678" w:type="dxa"/>
            <w:tcBorders>
              <w:left w:val="single" w:color="auto" w:sz="12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napToGrid w:val="0"/>
              <w:spacing w:line="264" w:lineRule="auto"/>
              <w:ind w:left="2662" w:firstLineChars="0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598" w:type="dxa"/>
            <w:vAlign w:val="center"/>
          </w:tcPr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质量保证措施</w:t>
            </w:r>
          </w:p>
        </w:tc>
        <w:tc>
          <w:tcPr>
            <w:tcW w:w="5110" w:type="dxa"/>
            <w:vAlign w:val="center"/>
          </w:tcPr>
          <w:p>
            <w:pPr>
              <w:snapToGrid w:val="0"/>
              <w:spacing w:line="264" w:lineRule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针对本次项目需求提供完善的质量与食物安全保障方案。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1.质量保证措施方案详细、可行性高，得1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分；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2.质量保证措施方案较详细、可行性较高，得</w:t>
            </w: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分；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3.质量保证措施方案不够详细、可行性较低，得3分；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4.不提供不得分。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</w:rPr>
              <w:t>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61" w:hRule="atLeast"/>
        </w:trPr>
        <w:tc>
          <w:tcPr>
            <w:tcW w:w="678" w:type="dxa"/>
            <w:tcBorders>
              <w:left w:val="single" w:color="auto" w:sz="12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napToGrid w:val="0"/>
              <w:spacing w:line="264" w:lineRule="auto"/>
              <w:ind w:left="2662" w:firstLineChars="0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598" w:type="dxa"/>
            <w:vAlign w:val="center"/>
          </w:tcPr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售后服务方案</w:t>
            </w:r>
          </w:p>
        </w:tc>
        <w:tc>
          <w:tcPr>
            <w:tcW w:w="5110" w:type="dxa"/>
            <w:vAlign w:val="center"/>
          </w:tcPr>
          <w:p>
            <w:pPr>
              <w:snapToGrid w:val="0"/>
              <w:spacing w:line="264" w:lineRule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对各投标人的服务承诺内容进行横向对比。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1.售后服务方案详细、可行性高，得1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分；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2.售后服务方案较详细、可行性较高，得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分；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3.售后服务方案不够详细、可行性较低，得3分；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4.不提供不得分。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10分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77" w:hRule="atLeast"/>
        </w:trPr>
        <w:tc>
          <w:tcPr>
            <w:tcW w:w="678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64" w:lineRule="auto"/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二</w:t>
            </w:r>
          </w:p>
        </w:tc>
        <w:tc>
          <w:tcPr>
            <w:tcW w:w="8268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商务部分(合计</w:t>
            </w:r>
            <w:r>
              <w:rPr>
                <w:rFonts w:hint="eastAsia" w:ascii="黑体" w:hAnsi="宋体" w:eastAsia="黑体" w:cs="宋体"/>
                <w:sz w:val="24"/>
                <w:lang w:val="en-US" w:eastAsia="zh-CN"/>
              </w:rPr>
              <w:t>16</w:t>
            </w:r>
            <w:r>
              <w:rPr>
                <w:rFonts w:hint="eastAsia" w:ascii="黑体" w:hAnsi="宋体" w:eastAsia="黑体" w:cs="宋体"/>
                <w:sz w:val="24"/>
              </w:rPr>
              <w:t>分)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61" w:hRule="atLeast"/>
        </w:trPr>
        <w:tc>
          <w:tcPr>
            <w:tcW w:w="678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2"/>
              </w:numPr>
              <w:tabs>
                <w:tab w:val="clear" w:pos="420"/>
              </w:tabs>
              <w:snapToGrid w:val="0"/>
              <w:spacing w:line="264" w:lineRule="auto"/>
              <w:ind w:left="2662" w:firstLineChars="0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598" w:type="dxa"/>
            <w:vAlign w:val="center"/>
          </w:tcPr>
          <w:p>
            <w:pPr>
              <w:snapToGrid w:val="0"/>
              <w:spacing w:line="264" w:lineRule="auto"/>
              <w:ind w:left="-63" w:leftChars="-30" w:right="-88" w:rightChars="-42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同类项目业绩</w:t>
            </w:r>
          </w:p>
        </w:tc>
        <w:tc>
          <w:tcPr>
            <w:tcW w:w="5110" w:type="dxa"/>
            <w:vAlign w:val="center"/>
          </w:tcPr>
          <w:p>
            <w:pPr>
              <w:snapToGrid w:val="0"/>
              <w:spacing w:line="264" w:lineRule="auto"/>
              <w:ind w:left="40" w:leftChars="19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根据供应商</w:t>
            </w:r>
            <w:r>
              <w:rPr>
                <w:rFonts w:hint="eastAsia" w:ascii="宋体" w:hAnsi="宋体"/>
                <w:lang w:val="en-US" w:eastAsia="zh-CN"/>
              </w:rPr>
              <w:t>2020年度至今的合同，</w:t>
            </w:r>
            <w:r>
              <w:rPr>
                <w:rFonts w:hint="eastAsia" w:ascii="宋体" w:hAnsi="宋体"/>
              </w:rPr>
              <w:t>每提供一项得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分，最高得</w:t>
            </w: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分；</w:t>
            </w:r>
          </w:p>
          <w:p>
            <w:pPr>
              <w:snapToGrid w:val="0"/>
              <w:spacing w:line="264" w:lineRule="auto"/>
              <w:ind w:left="40" w:leftChars="19" w:right="-88" w:rightChars="-42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/>
              </w:rPr>
              <w:t>无或其它不得分。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</w:rPr>
              <w:t>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61" w:hRule="atLeast"/>
        </w:trPr>
        <w:tc>
          <w:tcPr>
            <w:tcW w:w="67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2"/>
              </w:numPr>
              <w:tabs>
                <w:tab w:val="clear" w:pos="420"/>
              </w:tabs>
              <w:snapToGrid w:val="0"/>
              <w:spacing w:line="264" w:lineRule="auto"/>
              <w:ind w:left="2662" w:firstLineChars="0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598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管理体系认证</w:t>
            </w:r>
          </w:p>
        </w:tc>
        <w:tc>
          <w:tcPr>
            <w:tcW w:w="5110" w:type="dxa"/>
            <w:vAlign w:val="center"/>
          </w:tcPr>
          <w:p>
            <w:pPr>
              <w:widowControl/>
              <w:snapToGrid w:val="0"/>
              <w:spacing w:line="264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供应商获得质量管理体系认证、环境管理体系认证和职业健康安全管理体系认证的情况</w:t>
            </w:r>
            <w:r>
              <w:rPr>
                <w:rFonts w:hint="eastAsia" w:ascii="宋体" w:hAnsi="宋体" w:cs="宋体"/>
                <w:lang w:eastAsia="zh-CN"/>
              </w:rPr>
              <w:t>及其他征信认证证书：</w:t>
            </w:r>
            <w:r>
              <w:rPr>
                <w:rFonts w:hint="eastAsia" w:ascii="宋体" w:hAnsi="宋体"/>
              </w:rPr>
              <w:t>具有其中任一项得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分，最高得</w:t>
            </w: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分，没有或不提供得0分。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</w:rPr>
              <w:t>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33" w:hRule="atLeast"/>
        </w:trPr>
        <w:tc>
          <w:tcPr>
            <w:tcW w:w="678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64" w:lineRule="auto"/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三</w:t>
            </w:r>
          </w:p>
        </w:tc>
        <w:tc>
          <w:tcPr>
            <w:tcW w:w="8268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价格部分</w:t>
            </w:r>
            <w:r>
              <w:rPr>
                <w:rFonts w:hint="eastAsia" w:ascii="黑体" w:hAnsi="宋体" w:eastAsia="黑体" w:cs="宋体"/>
                <w:sz w:val="24"/>
                <w:lang w:eastAsia="zh-CN"/>
              </w:rPr>
              <w:t>（合计</w:t>
            </w:r>
            <w:r>
              <w:rPr>
                <w:rFonts w:hint="eastAsia" w:ascii="黑体" w:hAnsi="宋体" w:eastAsia="黑体" w:cs="宋体"/>
                <w:sz w:val="24"/>
                <w:lang w:val="en-US" w:eastAsia="zh-CN"/>
              </w:rPr>
              <w:t>30分）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20" w:hRule="atLeast"/>
        </w:trPr>
        <w:tc>
          <w:tcPr>
            <w:tcW w:w="678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598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投标报价</w:t>
            </w:r>
          </w:p>
        </w:tc>
        <w:tc>
          <w:tcPr>
            <w:tcW w:w="5110" w:type="dxa"/>
            <w:vAlign w:val="center"/>
          </w:tcPr>
          <w:p>
            <w:pPr>
              <w:snapToGrid w:val="0"/>
              <w:spacing w:line="264" w:lineRule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价格分</w:t>
            </w:r>
            <w:r>
              <w:rPr>
                <w:rFonts w:hint="eastAsia" w:ascii="宋体" w:hAnsi="宋体" w:cs="宋体"/>
              </w:rPr>
              <w:t>应当采用低价优先法计算，即满足招标文件要求且投标价格最低的投标报价为评标基准价，其价格分为满分。其他投标人的价格分统一按照下列公式计算：</w:t>
            </w:r>
          </w:p>
          <w:p>
            <w:pPr>
              <w:widowControl/>
              <w:snapToGrid w:val="0"/>
              <w:spacing w:line="264" w:lineRule="auto"/>
              <w:ind w:firstLine="316" w:firstLineChars="150"/>
              <w:rPr>
                <w:rFonts w:ascii="宋体" w:hAnsi="宋体"/>
                <w:bCs/>
                <w:color w:val="FF0000"/>
              </w:rPr>
            </w:pPr>
            <w:r>
              <w:rPr>
                <w:rFonts w:hint="eastAsia" w:ascii="宋体" w:hAnsi="宋体" w:cs="宋体"/>
                <w:b/>
              </w:rPr>
              <w:t>投标报价得分=(评标基准价／投标报价)×100×价格权重。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</w:rPr>
              <w:t>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53" w:hRule="atLeast"/>
        </w:trPr>
        <w:tc>
          <w:tcPr>
            <w:tcW w:w="7386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/>
                <w:b/>
              </w:rPr>
              <w:t>合计</w:t>
            </w:r>
          </w:p>
        </w:tc>
        <w:tc>
          <w:tcPr>
            <w:tcW w:w="709" w:type="dxa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100%</w:t>
            </w:r>
            <w:r>
              <w:rPr>
                <w:rFonts w:ascii="宋体" w:hAnsi="宋体" w:cs="宋体"/>
                <w:b/>
              </w:rPr>
              <w:t xml:space="preserve"> </w:t>
            </w:r>
          </w:p>
        </w:tc>
        <w:tc>
          <w:tcPr>
            <w:tcW w:w="851" w:type="dxa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100分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A1C36"/>
    <w:multiLevelType w:val="multilevel"/>
    <w:tmpl w:val="4BDA1C36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53090D3"/>
    <w:multiLevelType w:val="singleLevel"/>
    <w:tmpl w:val="653090D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4F7702C"/>
    <w:multiLevelType w:val="multilevel"/>
    <w:tmpl w:val="74F7702C"/>
    <w:lvl w:ilvl="0" w:tentative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86779"/>
    <w:rsid w:val="0CD56934"/>
    <w:rsid w:val="105273AC"/>
    <w:rsid w:val="13A86779"/>
    <w:rsid w:val="1A171566"/>
    <w:rsid w:val="1F1A4EF4"/>
    <w:rsid w:val="25C30B01"/>
    <w:rsid w:val="25D65EDB"/>
    <w:rsid w:val="26222A03"/>
    <w:rsid w:val="315D3463"/>
    <w:rsid w:val="39052895"/>
    <w:rsid w:val="3AD91B6C"/>
    <w:rsid w:val="3E2442CB"/>
    <w:rsid w:val="43D111E7"/>
    <w:rsid w:val="44B714FA"/>
    <w:rsid w:val="49D52979"/>
    <w:rsid w:val="4B577D0E"/>
    <w:rsid w:val="4D356577"/>
    <w:rsid w:val="4E911429"/>
    <w:rsid w:val="51652EBF"/>
    <w:rsid w:val="5A245037"/>
    <w:rsid w:val="5C4B079D"/>
    <w:rsid w:val="5C741B35"/>
    <w:rsid w:val="617311B6"/>
    <w:rsid w:val="62D17124"/>
    <w:rsid w:val="689B1862"/>
    <w:rsid w:val="6E4D2ECF"/>
    <w:rsid w:val="6EE937B5"/>
    <w:rsid w:val="72454816"/>
    <w:rsid w:val="77941691"/>
    <w:rsid w:val="7A9456C6"/>
    <w:rsid w:val="7C36314C"/>
    <w:rsid w:val="7DAB1CEA"/>
    <w:rsid w:val="7FE3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黑体" w:cs="Times New Roman"/>
      <w:bCs/>
      <w:sz w:val="30"/>
      <w:szCs w:val="30"/>
    </w:rPr>
  </w:style>
  <w:style w:type="paragraph" w:customStyle="1" w:styleId="5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仿宋_GB2312" w:hAnsi="仿宋_GB2312" w:eastAsia="仿宋_GB2312" w:cs="仿宋_GB2312"/>
      <w:kern w:val="0"/>
      <w:sz w:val="20"/>
      <w:szCs w:val="20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区卫生和计划生育局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2021-02-26T01:42:00Z</dcterms:created>
  <dc:creator>Administrator</dc:creator>
  <cp:lastModifiedBy>Administrator</cp:lastModifiedBy>
  <dcterms:modified xsi:type="dcterms:W3CDTF">2023-10-31T01:30:17Z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