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ind w:firstLine="3520" w:firstLineChars="1100"/>
        <w:jc w:val="both"/>
        <w:outlineLvl w:val="2"/>
        <w:rPr>
          <w:rFonts w:ascii="黑体" w:hAnsi="宋体" w:eastAsia="黑体" w:cs="宋体"/>
          <w:color w:val="FF0000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综合评分表</w:t>
      </w:r>
    </w:p>
    <w:tbl>
      <w:tblPr>
        <w:tblStyle w:val="3"/>
        <w:tblW w:w="10365" w:type="dxa"/>
        <w:tblInd w:w="-88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00"/>
        <w:gridCol w:w="1200"/>
        <w:gridCol w:w="7410"/>
        <w:gridCol w:w="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序号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评审因素</w:t>
            </w:r>
          </w:p>
        </w:tc>
        <w:tc>
          <w:tcPr>
            <w:tcW w:w="741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评分细则</w:t>
            </w:r>
          </w:p>
        </w:tc>
        <w:tc>
          <w:tcPr>
            <w:tcW w:w="85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3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sz w:val="24"/>
                <w:highlight w:val="none"/>
              </w:rPr>
              <w:t>一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sz w:val="24"/>
                <w:highlight w:val="none"/>
              </w:rPr>
              <w:t>技术部分(合计</w:t>
            </w:r>
            <w:r>
              <w:rPr>
                <w:rFonts w:hint="eastAsia" w:ascii="黑体" w:hAnsi="宋体" w:eastAsia="黑体" w:cs="宋体"/>
                <w:sz w:val="24"/>
                <w:highlight w:val="none"/>
                <w:lang w:val="en-US" w:eastAsia="zh-CN"/>
              </w:rPr>
              <w:t>55</w:t>
            </w:r>
            <w:r>
              <w:rPr>
                <w:rFonts w:hint="eastAsia" w:ascii="黑体" w:hAnsi="宋体" w:eastAsia="黑体" w:cs="宋体"/>
                <w:sz w:val="24"/>
                <w:highlight w:val="none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施工</w:t>
            </w:r>
            <w:r>
              <w:rPr>
                <w:rFonts w:hint="eastAsia" w:ascii="宋体" w:hAnsi="宋体"/>
                <w:highlight w:val="none"/>
              </w:rPr>
              <w:t>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根据供应商提供的施</w:t>
            </w:r>
            <w:r>
              <w:rPr>
                <w:rFonts w:hint="eastAsia" w:ascii="宋体" w:hAnsi="宋体"/>
                <w:highlight w:val="none"/>
                <w:lang w:eastAsia="zh-CN"/>
              </w:rPr>
              <w:t>工</w:t>
            </w:r>
            <w:r>
              <w:rPr>
                <w:rFonts w:hint="eastAsia" w:ascii="宋体" w:hAnsi="宋体"/>
                <w:highlight w:val="none"/>
              </w:rPr>
              <w:t>方案（包括</w:t>
            </w:r>
            <w:r>
              <w:rPr>
                <w:rFonts w:hint="eastAsia" w:ascii="宋体" w:hAnsi="宋体"/>
                <w:highlight w:val="none"/>
                <w:lang w:eastAsia="zh-CN"/>
              </w:rPr>
              <w:t>人员管理措施，材料设备供应保证措施，施工条件及管理措施</w:t>
            </w:r>
            <w:r>
              <w:rPr>
                <w:rFonts w:hint="eastAsia" w:ascii="宋体" w:hAnsi="宋体"/>
                <w:highlight w:val="none"/>
              </w:rPr>
              <w:t>）进行评审：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  <w:lang w:eastAsia="zh-CN"/>
              </w:rPr>
              <w:t>施工方案清晰可行，人员管理措施针对性强，材料设备供应保证措施完善规范，施工条件及管理措施切合本项目实际情况，完全满足且优于采购需求的，得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2.</w:t>
            </w:r>
            <w:r>
              <w:rPr>
                <w:rFonts w:hint="eastAsia" w:ascii="宋体" w:hAnsi="宋体"/>
                <w:highlight w:val="none"/>
                <w:lang w:eastAsia="zh-CN"/>
              </w:rPr>
              <w:t>施工方案较清晰可行，人员管理措施针对性较强，材料设备供应保证措施较完善规范，施工条件及管理措施较切合本项目实际情况，完全满足采购需求的，得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11分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3.</w:t>
            </w:r>
            <w:r>
              <w:rPr>
                <w:rFonts w:hint="eastAsia" w:ascii="宋体" w:hAnsi="宋体"/>
                <w:highlight w:val="none"/>
                <w:lang w:eastAsia="zh-CN"/>
              </w:rPr>
              <w:t>施工方案基本清晰可行，人员管理措施有一定针对性，材料设备供应保证措施基本完善规范，施工条件及管理措施基本切合本项目实际情况，基本满足采购需求的，得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4.</w:t>
            </w:r>
            <w:r>
              <w:rPr>
                <w:rFonts w:hint="eastAsia" w:ascii="宋体" w:hAnsi="宋体"/>
                <w:highlight w:val="none"/>
                <w:lang w:eastAsia="zh-CN"/>
              </w:rPr>
              <w:t>施工方案不够清晰可行，人员管理措施针对性较差，材料设备供应保证措施不够完善规范，施工条件及管理措施不够切合本项目实际情况，部分满足采购需求的，得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4分；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5.不提供不得分。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highlight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施工组织设计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根据供应商提供的</w:t>
            </w:r>
            <w:r>
              <w:rPr>
                <w:rFonts w:hint="eastAsia" w:ascii="宋体" w:hAnsi="宋体"/>
                <w:highlight w:val="none"/>
                <w:lang w:eastAsia="zh-CN"/>
              </w:rPr>
              <w:t>针对项目特点及采购人的工期建设目标所编制的施工组织设计（包括施工工期，施工时间表及横道图，施工进度安排，施工详细工作计划）</w:t>
            </w:r>
            <w:r>
              <w:rPr>
                <w:rFonts w:hint="eastAsia" w:ascii="宋体" w:hAnsi="宋体"/>
                <w:highlight w:val="none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1.</w:t>
            </w:r>
            <w:r>
              <w:rPr>
                <w:rFonts w:hint="eastAsia" w:ascii="宋体" w:hAnsi="宋体"/>
                <w:highlight w:val="none"/>
                <w:lang w:eastAsia="zh-CN"/>
              </w:rPr>
              <w:t>施工工期能满足招标文件要求，有完整详细的施工时间表及横道图，施工进度安排合理可行，施工详细工作计划各阶段计划清晰，完全满足且优于采购需求的，得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2.</w:t>
            </w:r>
            <w:r>
              <w:rPr>
                <w:rFonts w:hint="eastAsia" w:ascii="宋体" w:hAnsi="宋体"/>
                <w:highlight w:val="none"/>
                <w:lang w:eastAsia="zh-CN"/>
              </w:rPr>
              <w:t>施工工期较能满足磋商文件要求，有较完整详细的施工时间表及横道图，施工进度安排较合理可行，施工详细工作计划各阶段计划较清晰，完全满足采购需求的，得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3.</w:t>
            </w:r>
            <w:r>
              <w:rPr>
                <w:rFonts w:hint="eastAsia" w:ascii="宋体" w:hAnsi="宋体"/>
                <w:highlight w:val="none"/>
                <w:lang w:eastAsia="zh-CN"/>
              </w:rPr>
              <w:t>施工工期基本能满足招标文件要求，有基本详细的施工时间表及横道图，施工进度安排基本合理可行，施工详细工作计划各阶段计划基本清晰，基本满足采购需求的，得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4分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4.</w:t>
            </w:r>
            <w:r>
              <w:rPr>
                <w:rFonts w:hint="eastAsia" w:ascii="宋体" w:hAnsi="宋体"/>
                <w:highlight w:val="none"/>
                <w:lang w:eastAsia="zh-CN"/>
              </w:rPr>
              <w:t>施工工期不能很好满足招标文件要求，施工时间表及横道图不够详细，施工进度安排不够合理可行，施工详细工作计划各阶段计划不够清晰，部分满足采购需求的，得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5.不提供不得分</w:t>
            </w:r>
            <w:r>
              <w:rPr>
                <w:rFonts w:hint="eastAsia" w:ascii="宋体" w:hAnsi="宋体"/>
                <w:highlight w:val="none"/>
              </w:rPr>
              <w:t>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highlight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工程质量管理方案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根据供应商提供的</w:t>
            </w:r>
            <w:r>
              <w:rPr>
                <w:rFonts w:hint="eastAsia" w:ascii="宋体" w:hAnsi="宋体"/>
                <w:highlight w:val="none"/>
                <w:lang w:eastAsia="zh-CN"/>
              </w:rPr>
              <w:t>工程质量管理方案（包括工程质量事前控制，施工过程的质量控制，工程竣工验收的质量控制等）</w:t>
            </w:r>
            <w:r>
              <w:rPr>
                <w:rFonts w:hint="eastAsia" w:ascii="宋体" w:hAnsi="宋体"/>
                <w:highlight w:val="none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1.</w:t>
            </w:r>
            <w:r>
              <w:rPr>
                <w:rFonts w:hint="eastAsia" w:ascii="宋体" w:hAnsi="宋体"/>
                <w:highlight w:val="none"/>
                <w:lang w:eastAsia="zh-CN"/>
              </w:rPr>
              <w:t>质量控制措施的事前控制措施针对性强，有效性高，过程控制措施细致完整，竣工验收控制措施全面，可行性高，完全满足且优于采购需求的，得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2.</w:t>
            </w:r>
            <w:r>
              <w:rPr>
                <w:rFonts w:hint="eastAsia" w:ascii="宋体" w:hAnsi="宋体"/>
                <w:highlight w:val="none"/>
                <w:lang w:eastAsia="zh-CN"/>
              </w:rPr>
              <w:t>质量控制措施的事前控制措施针对性比较强，比较有效，过程控制措施比较细致完整，竣工验收控制措施比较全面，可行性比较高，完全满足采购需求的，得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3.</w:t>
            </w:r>
            <w:r>
              <w:rPr>
                <w:rFonts w:hint="eastAsia" w:ascii="宋体" w:hAnsi="宋体"/>
                <w:highlight w:val="none"/>
                <w:lang w:eastAsia="zh-CN"/>
              </w:rPr>
              <w:t>质量控制措施的事前控制措施针对性比较低，效果不明显，过程控制措施基本完整，竣工验收控制措施基本全面，可行性比较低，基本满足采购需求的，得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4分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4.</w:t>
            </w:r>
            <w:r>
              <w:rPr>
                <w:rFonts w:hint="eastAsia" w:ascii="宋体" w:hAnsi="宋体"/>
                <w:highlight w:val="none"/>
                <w:lang w:eastAsia="zh-CN"/>
              </w:rPr>
              <w:t>质量控制措施的事前控制措施针对性较差，过程控制措施方案不够合理，竣工验收控制措施不够全面，可行性较差，部分满足采购需求的，得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5.不提供不得分</w:t>
            </w:r>
            <w:r>
              <w:rPr>
                <w:rFonts w:hint="eastAsia" w:ascii="宋体" w:hAnsi="宋体"/>
                <w:highlight w:val="none"/>
              </w:rPr>
              <w:t>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highlight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工程安全管理方案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根据供应商提供的</w:t>
            </w:r>
            <w:r>
              <w:rPr>
                <w:rFonts w:hint="eastAsia" w:ascii="宋体" w:hAnsi="宋体"/>
                <w:highlight w:val="none"/>
                <w:lang w:eastAsia="zh-CN"/>
              </w:rPr>
              <w:t>工程安全管理方案（包括环境保护措施、安全文明措施、应急预案、突发性事件保障措施等）</w:t>
            </w:r>
            <w:r>
              <w:rPr>
                <w:rFonts w:hint="eastAsia" w:ascii="宋体" w:hAnsi="宋体"/>
                <w:highlight w:val="none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1.</w:t>
            </w:r>
            <w:r>
              <w:rPr>
                <w:rFonts w:hint="eastAsia" w:ascii="宋体" w:hAnsi="宋体"/>
                <w:highlight w:val="none"/>
                <w:lang w:eastAsia="zh-CN"/>
              </w:rPr>
              <w:t>环境保护措施有效得当，安全文明措施可实施性高，应急预案全面细致，突发性事件保障措施针对性强，完全满足且优于采购需求的</w:t>
            </w:r>
            <w:r>
              <w:rPr>
                <w:rFonts w:hint="eastAsia" w:ascii="宋体" w:hAnsi="宋体"/>
                <w:highlight w:val="none"/>
              </w:rPr>
              <w:t>，得1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highlight w:val="none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2.</w:t>
            </w:r>
            <w:r>
              <w:rPr>
                <w:rFonts w:hint="eastAsia" w:ascii="宋体" w:hAnsi="宋体"/>
                <w:highlight w:val="none"/>
                <w:lang w:eastAsia="zh-CN"/>
              </w:rPr>
              <w:t>环境保护措施比较有效得当，安全文明措施可实施性较高，应急预案较全面细致，突发性事件保障措施针对性较强，完全满足采购需求的</w:t>
            </w:r>
            <w:r>
              <w:rPr>
                <w:rFonts w:hint="eastAsia" w:ascii="宋体" w:hAnsi="宋体"/>
                <w:highlight w:val="none"/>
              </w:rPr>
              <w:t>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highlight w:val="none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3.</w:t>
            </w:r>
            <w:r>
              <w:rPr>
                <w:rFonts w:hint="eastAsia" w:ascii="宋体" w:hAnsi="宋体"/>
                <w:highlight w:val="none"/>
                <w:lang w:eastAsia="zh-CN"/>
              </w:rPr>
              <w:t>环境保护措施基本有效得当，安全文明措施有一定可实施性，应急预案基本全面细致，突发性事件保障措施有一定针对性，基本满足采购需求的</w:t>
            </w:r>
            <w:r>
              <w:rPr>
                <w:rFonts w:hint="eastAsia" w:ascii="宋体" w:hAnsi="宋体"/>
                <w:highlight w:val="none"/>
              </w:rPr>
              <w:t>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highlight w:val="none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4.</w:t>
            </w:r>
            <w:r>
              <w:rPr>
                <w:rFonts w:hint="eastAsia" w:ascii="宋体" w:hAnsi="宋体"/>
                <w:highlight w:val="none"/>
                <w:lang w:eastAsia="zh-CN"/>
              </w:rPr>
              <w:t>环撞保护措施不够有效，安全文明措施实施性较差，应急预案不够全面细致，突发性事件保障措施不够有针对性，部分满足采购需求的，得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/>
                <w:highlight w:val="none"/>
              </w:rPr>
              <w:t>不提供不得分。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highlight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jc w:val="center"/>
              <w:rPr>
                <w:rFonts w:hint="eastAsia" w:ascii="宋体" w:hAnsi="宋体" w:eastAsia="黑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质保期限服务方案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根据供应商</w:t>
            </w:r>
            <w:r>
              <w:rPr>
                <w:rFonts w:hint="eastAsia" w:ascii="宋体" w:hAnsi="宋体"/>
                <w:highlight w:val="none"/>
                <w:lang w:eastAsia="zh-CN"/>
              </w:rPr>
              <w:t>针对对本项目</w:t>
            </w:r>
            <w:r>
              <w:rPr>
                <w:rFonts w:hint="eastAsia" w:ascii="宋体" w:hAnsi="宋体"/>
                <w:highlight w:val="none"/>
              </w:rPr>
              <w:t>提供的</w:t>
            </w:r>
            <w:r>
              <w:rPr>
                <w:rFonts w:hint="eastAsia" w:ascii="宋体" w:hAnsi="宋体"/>
                <w:highlight w:val="none"/>
                <w:lang w:eastAsia="zh-CN"/>
              </w:rPr>
              <w:t>质保期服务</w:t>
            </w:r>
            <w:r>
              <w:rPr>
                <w:rFonts w:hint="eastAsia" w:ascii="宋体" w:hAnsi="宋体"/>
                <w:highlight w:val="none"/>
              </w:rPr>
              <w:t>方案（包括</w:t>
            </w:r>
            <w:r>
              <w:rPr>
                <w:rFonts w:hint="eastAsia" w:ascii="宋体" w:hAnsi="宋体"/>
                <w:highlight w:val="none"/>
                <w:lang w:eastAsia="zh-CN"/>
              </w:rPr>
              <w:t>质保期各阶段服务计划、质保期服务、维护保养期服务等</w:t>
            </w:r>
            <w:r>
              <w:rPr>
                <w:rFonts w:hint="eastAsia" w:ascii="宋体" w:hAnsi="宋体"/>
                <w:highlight w:val="none"/>
              </w:rPr>
              <w:t>）进行评</w:t>
            </w:r>
            <w:r>
              <w:rPr>
                <w:rFonts w:hint="eastAsia" w:ascii="宋体" w:hAnsi="宋体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/>
                <w:highlight w:val="none"/>
              </w:rPr>
              <w:t>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1.</w:t>
            </w:r>
            <w:r>
              <w:rPr>
                <w:rFonts w:hint="eastAsia" w:ascii="宋体" w:hAnsi="宋体"/>
                <w:highlight w:val="none"/>
                <w:lang w:eastAsia="zh-CN"/>
              </w:rPr>
              <w:t>工程质保期服务方案各阶段服务计划安排合理、质保期服务、维护保养期服务非常完善，完全满足且优于采购需求的</w:t>
            </w:r>
            <w:r>
              <w:rPr>
                <w:rFonts w:hint="eastAsia" w:ascii="宋体" w:hAnsi="宋体"/>
                <w:highlight w:val="none"/>
              </w:rPr>
              <w:t>，得1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highlight w:val="none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2.</w:t>
            </w:r>
            <w:r>
              <w:rPr>
                <w:rFonts w:hint="eastAsia" w:ascii="宋体" w:hAnsi="宋体"/>
                <w:highlight w:val="none"/>
                <w:lang w:eastAsia="zh-CN"/>
              </w:rPr>
              <w:t>工程质保期服务方案各阶段服务计划安排较合理、质保期服务、维护保养期服务比较完善，完全满足采购需求的</w:t>
            </w:r>
            <w:r>
              <w:rPr>
                <w:rFonts w:hint="eastAsia" w:ascii="宋体" w:hAnsi="宋体"/>
                <w:highlight w:val="none"/>
              </w:rPr>
              <w:t>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highlight w:val="none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3.</w:t>
            </w:r>
            <w:r>
              <w:rPr>
                <w:rFonts w:hint="eastAsia" w:ascii="宋体" w:hAnsi="宋体"/>
                <w:highlight w:val="none"/>
                <w:lang w:eastAsia="zh-CN"/>
              </w:rPr>
              <w:t>工程质保期服务方案各阶段服务计划安排基本合理、质保期服务、维护保养期服务基本完善，基本满足采购需求的</w:t>
            </w:r>
            <w:r>
              <w:rPr>
                <w:rFonts w:hint="eastAsia" w:ascii="宋体" w:hAnsi="宋体"/>
                <w:highlight w:val="none"/>
              </w:rPr>
              <w:t>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highlight w:val="none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4.</w:t>
            </w:r>
            <w:r>
              <w:rPr>
                <w:rFonts w:hint="eastAsia" w:ascii="宋体" w:hAnsi="宋体"/>
                <w:highlight w:val="none"/>
                <w:lang w:eastAsia="zh-CN"/>
              </w:rPr>
              <w:t>工程质保期服务方案各阶段服务计划安排不够合理、质保期服务、维护保养期服务不够完善，部分满足采购需求的</w:t>
            </w:r>
            <w:r>
              <w:rPr>
                <w:rFonts w:hint="eastAsia" w:ascii="宋体" w:hAnsi="宋体"/>
                <w:highlight w:val="none"/>
              </w:rPr>
              <w:t>，得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highlight w:val="none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/>
                <w:highlight w:val="none"/>
              </w:rPr>
              <w:t>不提供不得分。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7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sz w:val="24"/>
                <w:highlight w:val="none"/>
              </w:rPr>
              <w:t>二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sz w:val="24"/>
                <w:highlight w:val="none"/>
              </w:rPr>
              <w:t>商务部分(合计</w:t>
            </w:r>
            <w:r>
              <w:rPr>
                <w:rFonts w:hint="eastAsia" w:ascii="黑体" w:hAnsi="宋体" w:eastAsia="黑体" w:cs="宋体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sz w:val="24"/>
                <w:highlight w:val="none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ind w:right="-88" w:rightChars="-42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同类项目</w:t>
            </w:r>
          </w:p>
          <w:p>
            <w:pPr>
              <w:snapToGrid w:val="0"/>
              <w:spacing w:line="264" w:lineRule="auto"/>
              <w:ind w:right="-88" w:rightChars="-42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业绩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情况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ind w:left="40" w:leftChars="19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根据供应商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2022年1月1日起至提交响应文件截止之日，完成过质量合格的类似工程业绩，</w:t>
            </w:r>
            <w:r>
              <w:rPr>
                <w:rFonts w:hint="eastAsia" w:ascii="宋体" w:hAnsi="宋体"/>
                <w:highlight w:val="none"/>
              </w:rPr>
              <w:t>每提供一项得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highlight w:val="none"/>
              </w:rPr>
              <w:t>分，</w:t>
            </w:r>
            <w:r>
              <w:rPr>
                <w:rFonts w:hint="eastAsia" w:ascii="宋体" w:hAnsi="宋体"/>
                <w:highlight w:val="none"/>
                <w:lang w:eastAsia="zh-CN"/>
              </w:rPr>
              <w:t>本小项最高得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8分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注：类似工程是指建筑工程，需提供项目上施工合同、竣工验收报告复印件。完成时间以竣工验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收文件为准，验收文件至少具有建设单位、施工单位盖章</w:t>
            </w:r>
            <w:r>
              <w:rPr>
                <w:rFonts w:hint="eastAsia" w:ascii="宋体" w:hAnsi="宋体"/>
                <w:highlight w:val="none"/>
              </w:rPr>
              <w:t>。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highlight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项目管理机构构成</w:t>
            </w:r>
          </w:p>
        </w:tc>
        <w:tc>
          <w:tcPr>
            <w:tcW w:w="74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工程项目技术负责人（1名）：具有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工程类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高级（或以上）技术职称证书，得2分；注：提供职称证复印件加盖公章；提供</w:t>
            </w:r>
            <w:r>
              <w:rPr>
                <w:rFonts w:hint="eastAsia" w:ascii="宋体" w:hAnsi="宋体" w:cs="宋体"/>
                <w:highlight w:val="none"/>
              </w:rPr>
              <w:t>供应商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为其购买的</w:t>
            </w:r>
            <w:r>
              <w:rPr>
                <w:rFonts w:hint="eastAsia" w:ascii="Calibri" w:hAnsi="Calibri" w:eastAsia="宋体" w:cs="Times New Roman"/>
                <w:snapToGrid w:val="0"/>
                <w:sz w:val="21"/>
                <w:szCs w:val="21"/>
                <w:highlight w:val="none"/>
                <w:lang w:val="en-US" w:eastAsia="zh-CN"/>
              </w:rPr>
              <w:t>近一年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的社保证明，不提供不得分；最多得2分；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项目经理资格评审：具有工程类高级（或以上）工程师，得2分，不具有的不得分，最多得2分；注：提供职称证复印件加盖公章；提供供应商为其购买的近一年的社保证明，不提供不得分；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造价员：具有造价员证，得1分，同时具有工程类高级工程师或以上职称，得1分；最多得2分；。提供专业执业资格证书或职称证书或上岗证书复印件加盖公章；提供供应商为其购买的近近一年的社保证明，不提供不得分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4.人员配置：具有施工、质（检）量、安全、材料、资料员、劳务员、机械员、标准员类别，每具备1个类别的，得0.5分，不具有的不得分，最多得4分；人员配置同时具有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工程类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高级（或以上）技术职称证书，每具备1个得0.5分，最多得4分；本项最高得8分，注：提供专业执业资格证书或职称证书或上岗证书复印件加盖公章；提供供应商为其购买的近</w:t>
            </w:r>
            <w:r>
              <w:rPr>
                <w:rFonts w:hint="eastAsia" w:ascii="Calibri" w:hAnsi="Calibri" w:eastAsia="宋体" w:cs="Times New Roman"/>
                <w:snapToGrid w:val="0"/>
                <w:sz w:val="21"/>
                <w:szCs w:val="21"/>
                <w:highlight w:val="none"/>
                <w:lang w:val="en-US" w:eastAsia="zh-CN"/>
              </w:rPr>
              <w:t>近一年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的社保证明，不提供不得分</w:t>
            </w:r>
            <w:r>
              <w:rPr>
                <w:rFonts w:hint="eastAsia" w:ascii="宋体" w:hAnsi="宋体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备注：岗位人员不得同时兼任，如出现兼任的情况，涉及兼任的岗位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napToGrid w:val="0"/>
                <w:sz w:val="21"/>
                <w:szCs w:val="21"/>
                <w:highlight w:val="none"/>
                <w:lang w:eastAsia="zh-CN"/>
              </w:rPr>
              <w:t>以上条件均不符合的，未提供扫描件的，不予计分。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hint="default" w:ascii="宋体" w:hAnsi="宋体" w:cs="宋体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14分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供应商体系证</w:t>
            </w:r>
          </w:p>
        </w:tc>
        <w:tc>
          <w:tcPr>
            <w:tcW w:w="741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提供质量管理体系、职业健康管理体系认证、环境管理体系认证三项齐全得3分；不提供不得分。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注：同时提供以上证书扫描件及国家认证可监督管理委员的“全国认证认可信息公共服务平台”（http://cx.cnca.cn)查询结果截图，失效、撤销或暂停的对应证书项不得分。因投标人（供应商）成立时间不足3个月，导致未能取得相关认证且提供书面说明的，对应证书可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sz w:val="24"/>
                <w:highlight w:val="none"/>
              </w:rPr>
              <w:t>三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sz w:val="24"/>
                <w:highlight w:val="none"/>
              </w:rPr>
              <w:t>价格部分</w:t>
            </w:r>
            <w:r>
              <w:rPr>
                <w:rFonts w:hint="eastAsia" w:ascii="黑体" w:hAnsi="宋体" w:eastAsia="黑体" w:cs="宋体"/>
                <w:sz w:val="24"/>
                <w:highlight w:val="none"/>
                <w:lang w:eastAsia="zh-CN"/>
              </w:rPr>
              <w:t>（合计</w:t>
            </w:r>
            <w:r>
              <w:rPr>
                <w:rFonts w:hint="eastAsia" w:ascii="黑体" w:hAnsi="宋体" w:eastAsia="黑体" w:cs="宋体"/>
                <w:sz w:val="24"/>
                <w:highlight w:val="none"/>
                <w:lang w:val="en-US" w:eastAsia="zh-CN"/>
              </w:rPr>
              <w:t>20分）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0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价</w:t>
            </w:r>
            <w:r>
              <w:rPr>
                <w:rFonts w:hint="eastAsia" w:ascii="宋体" w:hAnsi="宋体"/>
                <w:highlight w:val="none"/>
                <w:lang w:eastAsia="zh-CN"/>
              </w:rPr>
              <w:t>格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ind w:firstLine="420" w:firstLineChars="2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评选小组对入围的供应商的最后价格进行修正得出评审价。综合评分法中的价格分统一采用低价优先法计算，即满足磋商文件要求（通过资格、符合性评审）且价格最低的有效最后报价（指修正后的价格，下同）为基准价，其价格分为满分。其他供应商的价格分统一按照下列公式计算</w:t>
            </w:r>
            <w:r>
              <w:rPr>
                <w:rFonts w:hint="eastAsia" w:ascii="宋体" w:hAnsi="宋体" w:cs="宋体"/>
                <w:highlight w:val="none"/>
              </w:rPr>
              <w:t>：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hint="eastAsia"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报价得分=(基准价／</w:t>
            </w:r>
            <w:r>
              <w:rPr>
                <w:rFonts w:hint="eastAsia" w:ascii="宋体" w:hAnsi="宋体" w:cs="宋体"/>
                <w:b/>
                <w:highlight w:val="none"/>
                <w:lang w:eastAsia="zh-CN"/>
              </w:rPr>
              <w:t>最后</w:t>
            </w:r>
            <w:r>
              <w:rPr>
                <w:rFonts w:hint="eastAsia" w:ascii="宋体" w:hAnsi="宋体" w:cs="宋体"/>
                <w:b/>
                <w:highlight w:val="none"/>
              </w:rPr>
              <w:t>报价)×价格权重×100</w:t>
            </w:r>
            <w:r>
              <w:rPr>
                <w:rFonts w:hint="eastAsia" w:ascii="宋体" w:hAnsi="宋体" w:cs="宋体"/>
                <w:b/>
                <w:highlight w:val="none"/>
                <w:lang w:eastAsia="zh-CN"/>
              </w:rPr>
              <w:t>（精确到</w:t>
            </w:r>
            <w:r>
              <w:rPr>
                <w:rFonts w:hint="eastAsia" w:ascii="宋体" w:hAnsi="宋体" w:cs="宋体"/>
                <w:b/>
                <w:highlight w:val="none"/>
                <w:lang w:val="en-US" w:eastAsia="zh-CN"/>
              </w:rPr>
              <w:t>0.01）</w:t>
            </w:r>
            <w:r>
              <w:rPr>
                <w:rFonts w:hint="eastAsia" w:ascii="宋体" w:hAnsi="宋体" w:cs="宋体"/>
                <w:b/>
                <w:highlight w:val="none"/>
              </w:rPr>
              <w:t>。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hint="eastAsia" w:ascii="宋体" w:hAnsi="宋体" w:cs="宋体"/>
                <w:b/>
                <w:highlight w:val="none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ascii="宋体" w:hAnsi="宋体" w:cs="宋体"/>
                <w:highlight w:val="none"/>
              </w:rPr>
              <w:t xml:space="preserve"> </w:t>
            </w:r>
          </w:p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highlight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</w:trPr>
        <w:tc>
          <w:tcPr>
            <w:tcW w:w="951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合计</w:t>
            </w:r>
          </w:p>
        </w:tc>
        <w:tc>
          <w:tcPr>
            <w:tcW w:w="85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7601"/>
    <w:multiLevelType w:val="singleLevel"/>
    <w:tmpl w:val="66B476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6779"/>
    <w:rsid w:val="105273AC"/>
    <w:rsid w:val="13A86779"/>
    <w:rsid w:val="17DB5334"/>
    <w:rsid w:val="1A171566"/>
    <w:rsid w:val="1F1A4EF4"/>
    <w:rsid w:val="25C30B01"/>
    <w:rsid w:val="25D65EDB"/>
    <w:rsid w:val="26222A03"/>
    <w:rsid w:val="29F75973"/>
    <w:rsid w:val="315D3463"/>
    <w:rsid w:val="31774136"/>
    <w:rsid w:val="3223447E"/>
    <w:rsid w:val="3AD91B6C"/>
    <w:rsid w:val="3E2442CB"/>
    <w:rsid w:val="3FF43539"/>
    <w:rsid w:val="44B714FA"/>
    <w:rsid w:val="469A1ADB"/>
    <w:rsid w:val="497A51C6"/>
    <w:rsid w:val="49D52979"/>
    <w:rsid w:val="4B577D0E"/>
    <w:rsid w:val="4D356577"/>
    <w:rsid w:val="4E911429"/>
    <w:rsid w:val="50891D35"/>
    <w:rsid w:val="51652EBF"/>
    <w:rsid w:val="5A245037"/>
    <w:rsid w:val="5C4B079D"/>
    <w:rsid w:val="5C741B35"/>
    <w:rsid w:val="617311B6"/>
    <w:rsid w:val="62D17124"/>
    <w:rsid w:val="64202805"/>
    <w:rsid w:val="689B1862"/>
    <w:rsid w:val="68C20BB5"/>
    <w:rsid w:val="6B486512"/>
    <w:rsid w:val="6C693D84"/>
    <w:rsid w:val="6E4D2ECF"/>
    <w:rsid w:val="6EE937B5"/>
    <w:rsid w:val="72454816"/>
    <w:rsid w:val="72850A98"/>
    <w:rsid w:val="77941691"/>
    <w:rsid w:val="7A9456C6"/>
    <w:rsid w:val="7C36314C"/>
    <w:rsid w:val="7DA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仿宋_GB2312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3</Pages>
  <Words>2597</Words>
  <Characters>2661</Characters>
  <Lines>0</Lines>
  <Paragraphs>0</Paragraphs>
  <TotalTime>0</TotalTime>
  <ScaleCrop>false</ScaleCrop>
  <LinksUpToDate>false</LinksUpToDate>
  <CharactersWithSpaces>2662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2021-02-26T01:42:00Z</dcterms:created>
  <dc:creator>Administrator</dc:creator>
  <cp:lastModifiedBy>Administrator</cp:lastModifiedBy>
  <dcterms:modified xsi:type="dcterms:W3CDTF">2025-01-08T00:18:26Z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KSOTemplateDocerSaveRecord">
    <vt:lpwstr>eyJoZGlkIjoiOTY3OGI4ZTYxMGU3MWEwNWQ5MGU0ZGE2ZTA0Yzk0YjUiLCJ1c2VySWQiOiI1OTMxMTM2OTAifQ==</vt:lpwstr>
  </property>
  <property fmtid="{D5CDD505-2E9C-101B-9397-08002B2CF9AE}" pid="4" name="ICV">
    <vt:lpwstr>A0B3D67826E041E4AA624CF2FEB86A8F_13</vt:lpwstr>
  </property>
</Properties>
</file>