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beforeLines="50" w:afterLines="50" w:line="360" w:lineRule="auto"/>
        <w:ind w:firstLine="3360" w:firstLineChars="1200"/>
        <w:jc w:val="both"/>
        <w:outlineLvl w:val="2"/>
        <w:rPr>
          <w:rFonts w:ascii="黑体" w:hAnsi="宋体" w:eastAsia="黑体" w:cs="宋体"/>
          <w:color w:val="FF0000"/>
          <w:sz w:val="28"/>
          <w:szCs w:val="28"/>
        </w:rPr>
      </w:pPr>
      <w:r>
        <w:rPr>
          <w:rFonts w:hint="eastAsia" w:ascii="黑体" w:hAnsi="宋体" w:eastAsia="黑体" w:cs="宋体"/>
          <w:sz w:val="28"/>
          <w:szCs w:val="28"/>
        </w:rPr>
        <w:t>综合评分表</w:t>
      </w:r>
    </w:p>
    <w:tbl>
      <w:tblPr>
        <w:tblStyle w:val="4"/>
        <w:tblW w:w="4998" w:type="pct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autofit"/>
        <w:tblCellMar>
          <w:top w:w="28" w:type="dxa"/>
          <w:left w:w="108" w:type="dxa"/>
          <w:bottom w:w="28" w:type="dxa"/>
          <w:right w:w="108" w:type="dxa"/>
        </w:tblCellMar>
      </w:tblPr>
      <w:tblGrid>
        <w:gridCol w:w="738"/>
        <w:gridCol w:w="985"/>
        <w:gridCol w:w="6094"/>
        <w:gridCol w:w="702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815" w:hRule="atLeast"/>
        </w:trPr>
        <w:tc>
          <w:tcPr>
            <w:tcW w:w="433" w:type="pct"/>
            <w:tcBorders>
              <w:top w:val="single" w:color="auto" w:sz="12" w:space="0"/>
              <w:left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264" w:lineRule="auto"/>
              <w:ind w:left="-78" w:leftChars="-37" w:right="-73" w:rightChars="-35"/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序号</w:t>
            </w:r>
          </w:p>
        </w:tc>
        <w:tc>
          <w:tcPr>
            <w:tcW w:w="578" w:type="pct"/>
            <w:tcBorders>
              <w:top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264" w:lineRule="auto"/>
              <w:ind w:left="-78" w:leftChars="-37" w:right="-73" w:rightChars="-35"/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评审因素</w:t>
            </w:r>
          </w:p>
        </w:tc>
        <w:tc>
          <w:tcPr>
            <w:tcW w:w="3575" w:type="pct"/>
            <w:tcBorders>
              <w:top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264" w:lineRule="auto"/>
              <w:ind w:left="-78" w:leftChars="-37" w:right="-73" w:rightChars="-35"/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评分细则</w:t>
            </w:r>
          </w:p>
        </w:tc>
        <w:tc>
          <w:tcPr>
            <w:tcW w:w="412" w:type="pct"/>
            <w:tcBorders>
              <w:top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264" w:lineRule="auto"/>
              <w:ind w:left="-78" w:leftChars="-37" w:right="-73" w:rightChars="-35"/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分值（分）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383" w:hRule="atLeast"/>
        </w:trPr>
        <w:tc>
          <w:tcPr>
            <w:tcW w:w="433" w:type="pct"/>
            <w:tcBorders>
              <w:left w:val="single" w:color="auto" w:sz="12" w:space="0"/>
            </w:tcBorders>
            <w:noWrap w:val="0"/>
            <w:vAlign w:val="center"/>
          </w:tcPr>
          <w:p>
            <w:pPr>
              <w:widowControl/>
              <w:snapToGrid w:val="0"/>
              <w:spacing w:line="264" w:lineRule="auto"/>
              <w:jc w:val="center"/>
              <w:rPr>
                <w:rFonts w:ascii="黑体" w:hAnsi="宋体" w:eastAsia="黑体" w:cs="宋体"/>
                <w:sz w:val="24"/>
              </w:rPr>
            </w:pPr>
            <w:r>
              <w:rPr>
                <w:rFonts w:hint="eastAsia" w:ascii="黑体" w:hAnsi="宋体" w:eastAsia="黑体" w:cs="宋体"/>
                <w:sz w:val="24"/>
              </w:rPr>
              <w:t>一</w:t>
            </w:r>
          </w:p>
        </w:tc>
        <w:tc>
          <w:tcPr>
            <w:tcW w:w="4566" w:type="pct"/>
            <w:gridSpan w:val="3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snapToGrid w:val="0"/>
              <w:spacing w:line="264" w:lineRule="auto"/>
              <w:jc w:val="center"/>
              <w:rPr>
                <w:rFonts w:ascii="黑体" w:hAnsi="宋体" w:eastAsia="黑体" w:cs="宋体"/>
                <w:sz w:val="24"/>
              </w:rPr>
            </w:pPr>
            <w:r>
              <w:rPr>
                <w:rFonts w:hint="eastAsia" w:ascii="黑体" w:hAnsi="宋体" w:eastAsia="黑体" w:cs="宋体"/>
                <w:sz w:val="24"/>
              </w:rPr>
              <w:t>技术部分(合计</w:t>
            </w:r>
            <w:r>
              <w:rPr>
                <w:rFonts w:hint="eastAsia" w:ascii="黑体" w:hAnsi="宋体" w:eastAsia="黑体" w:cs="宋体"/>
                <w:sz w:val="24"/>
                <w:lang w:val="en-US" w:eastAsia="zh-CN"/>
              </w:rPr>
              <w:t>55</w:t>
            </w:r>
            <w:r>
              <w:rPr>
                <w:rFonts w:hint="eastAsia" w:ascii="黑体" w:hAnsi="宋体" w:eastAsia="黑体" w:cs="宋体"/>
                <w:sz w:val="24"/>
              </w:rPr>
              <w:t>分)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861" w:hRule="atLeast"/>
        </w:trPr>
        <w:tc>
          <w:tcPr>
            <w:tcW w:w="433" w:type="pct"/>
            <w:tcBorders>
              <w:left w:val="single" w:color="auto" w:sz="12" w:space="0"/>
            </w:tcBorders>
            <w:noWrap w:val="0"/>
            <w:vAlign w:val="center"/>
          </w:tcPr>
          <w:p>
            <w:pPr>
              <w:pStyle w:val="6"/>
              <w:numPr>
                <w:ilvl w:val="0"/>
                <w:numId w:val="0"/>
              </w:numPr>
              <w:snapToGrid w:val="0"/>
              <w:spacing w:line="264" w:lineRule="auto"/>
              <w:ind w:firstLine="240" w:firstLineChars="100"/>
              <w:jc w:val="both"/>
              <w:rPr>
                <w:rFonts w:hint="eastAsia" w:ascii="宋体" w:hAnsi="宋体"/>
                <w:color w:val="FF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578" w:type="pct"/>
            <w:noWrap w:val="0"/>
            <w:vAlign w:val="center"/>
          </w:tcPr>
          <w:p>
            <w:pPr>
              <w:snapToGrid w:val="0"/>
              <w:spacing w:line="264" w:lineRule="auto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eastAsia="zh-CN"/>
              </w:rPr>
              <w:t>施工</w:t>
            </w:r>
            <w:r>
              <w:rPr>
                <w:rFonts w:hint="eastAsia" w:ascii="宋体" w:hAnsi="宋体"/>
              </w:rPr>
              <w:t>方案</w:t>
            </w:r>
          </w:p>
        </w:tc>
        <w:tc>
          <w:tcPr>
            <w:tcW w:w="3575" w:type="pct"/>
            <w:noWrap w:val="0"/>
            <w:vAlign w:val="center"/>
          </w:tcPr>
          <w:p>
            <w:pPr>
              <w:snapToGrid w:val="0"/>
              <w:spacing w:line="264" w:lineRule="auto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根据供应商提供的施</w:t>
            </w:r>
            <w:r>
              <w:rPr>
                <w:rFonts w:hint="eastAsia" w:ascii="宋体" w:hAnsi="宋体"/>
                <w:lang w:eastAsia="zh-CN"/>
              </w:rPr>
              <w:t>工</w:t>
            </w:r>
            <w:r>
              <w:rPr>
                <w:rFonts w:hint="eastAsia" w:ascii="宋体" w:hAnsi="宋体"/>
              </w:rPr>
              <w:t>方案（包括</w:t>
            </w:r>
            <w:r>
              <w:rPr>
                <w:rFonts w:hint="eastAsia" w:ascii="宋体" w:hAnsi="宋体"/>
                <w:lang w:eastAsia="zh-CN"/>
              </w:rPr>
              <w:t>人员管理措施，材料设备供应保证措施，施工条件及管理措施</w:t>
            </w:r>
            <w:r>
              <w:rPr>
                <w:rFonts w:hint="eastAsia" w:ascii="宋体" w:hAnsi="宋体"/>
              </w:rPr>
              <w:t>）进行评审：</w:t>
            </w:r>
          </w:p>
          <w:p>
            <w:pPr>
              <w:snapToGrid w:val="0"/>
              <w:spacing w:line="264" w:lineRule="auto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</w:t>
            </w:r>
            <w:r>
              <w:rPr>
                <w:rFonts w:hint="eastAsia" w:ascii="宋体" w:hAnsi="宋体"/>
                <w:lang w:eastAsia="zh-CN"/>
              </w:rPr>
              <w:t>施工方案清晰可行，人员管理措施针对性强，材料设备供应保证措施完善规范，施工条件及管理措施切合本项目实际情况，完全满足且优于采购需求的，得</w:t>
            </w:r>
            <w:r>
              <w:rPr>
                <w:rFonts w:hint="eastAsia" w:ascii="宋体" w:hAnsi="宋体"/>
                <w:lang w:val="en-US" w:eastAsia="zh-CN"/>
              </w:rPr>
              <w:t>15分</w:t>
            </w:r>
            <w:r>
              <w:rPr>
                <w:rFonts w:hint="eastAsia" w:ascii="宋体" w:hAnsi="宋体"/>
              </w:rPr>
              <w:t>；</w:t>
            </w:r>
          </w:p>
          <w:p>
            <w:pPr>
              <w:snapToGrid w:val="0"/>
              <w:spacing w:line="264" w:lineRule="auto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2.</w:t>
            </w:r>
            <w:r>
              <w:rPr>
                <w:rFonts w:hint="eastAsia" w:ascii="宋体" w:hAnsi="宋体"/>
                <w:lang w:eastAsia="zh-CN"/>
              </w:rPr>
              <w:t>施工方案较清晰可行，人员管理措施针对性强，材料设备供应保证措施较完善规范，施工条件及管理措施较切合本项目实际情况，完全满足采购需求的，得</w:t>
            </w:r>
            <w:r>
              <w:rPr>
                <w:rFonts w:hint="eastAsia" w:ascii="宋体" w:hAnsi="宋体"/>
                <w:lang w:val="en-US" w:eastAsia="zh-CN"/>
              </w:rPr>
              <w:t>11分</w:t>
            </w:r>
            <w:r>
              <w:rPr>
                <w:rFonts w:hint="eastAsia" w:ascii="宋体" w:hAnsi="宋体"/>
              </w:rPr>
              <w:t>；</w:t>
            </w:r>
          </w:p>
          <w:p>
            <w:pPr>
              <w:snapToGrid w:val="0"/>
              <w:spacing w:line="264" w:lineRule="auto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3.</w:t>
            </w:r>
            <w:r>
              <w:rPr>
                <w:rFonts w:hint="eastAsia" w:ascii="宋体" w:hAnsi="宋体"/>
                <w:lang w:eastAsia="zh-CN"/>
              </w:rPr>
              <w:t>施工方案基本清晰可行，人员管理措施有一定针对性，材料设备供应保证措施基本完善规范，施工条件及管理措施基本切合本项目实际情况，基本满足采购需求的，得</w:t>
            </w:r>
            <w:r>
              <w:rPr>
                <w:rFonts w:hint="eastAsia" w:ascii="宋体" w:hAnsi="宋体"/>
                <w:lang w:val="en-US" w:eastAsia="zh-CN"/>
              </w:rPr>
              <w:t>7分</w:t>
            </w:r>
            <w:r>
              <w:rPr>
                <w:rFonts w:hint="eastAsia" w:ascii="宋体" w:hAnsi="宋体"/>
              </w:rPr>
              <w:t>；</w:t>
            </w:r>
          </w:p>
          <w:p>
            <w:pPr>
              <w:snapToGrid w:val="0"/>
              <w:spacing w:line="264" w:lineRule="auto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</w:rPr>
              <w:t>4.</w:t>
            </w:r>
            <w:r>
              <w:rPr>
                <w:rFonts w:hint="eastAsia" w:ascii="宋体" w:hAnsi="宋体"/>
                <w:lang w:eastAsia="zh-CN"/>
              </w:rPr>
              <w:t>施工方案不够清晰可行，人员管理措施针对性较差，材料设备供应保证措施不够完善规范，施工条件及管理措施不够切合本项目实际情况，部分满足采购需求的，得</w:t>
            </w:r>
            <w:r>
              <w:rPr>
                <w:rFonts w:hint="eastAsia" w:ascii="宋体" w:hAnsi="宋体"/>
                <w:lang w:val="en-US" w:eastAsia="zh-CN"/>
              </w:rPr>
              <w:t>4分；</w:t>
            </w:r>
          </w:p>
          <w:p>
            <w:pPr>
              <w:snapToGrid w:val="0"/>
              <w:spacing w:line="264" w:lineRule="auto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5.不提供不得分。</w:t>
            </w:r>
          </w:p>
          <w:p>
            <w:pPr>
              <w:snapToGrid w:val="0"/>
              <w:spacing w:line="264" w:lineRule="auto"/>
              <w:rPr>
                <w:rFonts w:hint="eastAsia" w:ascii="宋体" w:hAnsi="宋体"/>
                <w:lang w:val="en-US" w:eastAsia="zh-CN"/>
              </w:rPr>
            </w:pPr>
          </w:p>
        </w:tc>
        <w:tc>
          <w:tcPr>
            <w:tcW w:w="412" w:type="pct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264" w:lineRule="auto"/>
              <w:ind w:left="-78" w:leftChars="-37" w:right="-73" w:rightChars="-35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15</w:t>
            </w:r>
            <w:r>
              <w:rPr>
                <w:rFonts w:hint="eastAsia" w:ascii="宋体" w:hAnsi="宋体" w:cs="宋体"/>
              </w:rPr>
              <w:t>分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861" w:hRule="atLeast"/>
        </w:trPr>
        <w:tc>
          <w:tcPr>
            <w:tcW w:w="433" w:type="pct"/>
            <w:tcBorders>
              <w:left w:val="single" w:color="auto" w:sz="12" w:space="0"/>
            </w:tcBorders>
            <w:noWrap w:val="0"/>
            <w:vAlign w:val="center"/>
          </w:tcPr>
          <w:p>
            <w:pPr>
              <w:pStyle w:val="6"/>
              <w:widowControl w:val="0"/>
              <w:numPr>
                <w:ilvl w:val="0"/>
                <w:numId w:val="0"/>
              </w:numPr>
              <w:snapToGrid w:val="0"/>
              <w:spacing w:line="264" w:lineRule="auto"/>
              <w:ind w:firstLine="240" w:firstLineChars="100"/>
              <w:jc w:val="both"/>
              <w:rPr>
                <w:rFonts w:hint="eastAsia" w:ascii="宋体" w:hAnsi="宋体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2</w:t>
            </w:r>
          </w:p>
        </w:tc>
        <w:tc>
          <w:tcPr>
            <w:tcW w:w="578" w:type="pct"/>
            <w:noWrap w:val="0"/>
            <w:vAlign w:val="center"/>
          </w:tcPr>
          <w:p>
            <w:pPr>
              <w:pStyle w:val="6"/>
              <w:widowControl w:val="0"/>
              <w:numPr>
                <w:ilvl w:val="0"/>
                <w:numId w:val="0"/>
              </w:numPr>
              <w:snapToGrid w:val="0"/>
              <w:spacing w:line="264" w:lineRule="auto"/>
              <w:jc w:val="both"/>
              <w:rPr>
                <w:rFonts w:hint="eastAsia" w:ascii="宋体" w:hAnsi="宋体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施工组织设计</w:t>
            </w:r>
          </w:p>
        </w:tc>
        <w:tc>
          <w:tcPr>
            <w:tcW w:w="3575" w:type="pct"/>
            <w:noWrap w:val="0"/>
            <w:vAlign w:val="center"/>
          </w:tcPr>
          <w:p>
            <w:pPr>
              <w:snapToGrid w:val="0"/>
              <w:spacing w:line="264" w:lineRule="auto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根据供应商提供的</w:t>
            </w:r>
            <w:r>
              <w:rPr>
                <w:rFonts w:hint="eastAsia" w:ascii="宋体" w:hAnsi="宋体"/>
                <w:lang w:eastAsia="zh-CN"/>
              </w:rPr>
              <w:t>针对项目特点及采购人的工期建设目标所编制的施工组织设计（包括施工工期，施工时间表及横道图，施工进度安排，施工详细工作计划）</w:t>
            </w:r>
            <w:r>
              <w:rPr>
                <w:rFonts w:hint="eastAsia" w:ascii="宋体" w:hAnsi="宋体"/>
              </w:rPr>
              <w:t>进行评审：</w:t>
            </w:r>
          </w:p>
          <w:p>
            <w:pPr>
              <w:snapToGrid w:val="0"/>
              <w:spacing w:line="264" w:lineRule="auto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1.</w:t>
            </w:r>
            <w:r>
              <w:rPr>
                <w:rFonts w:hint="eastAsia" w:ascii="宋体" w:hAnsi="宋体"/>
                <w:lang w:eastAsia="zh-CN"/>
              </w:rPr>
              <w:t>施工工期能满足磋商文件要求，有完整详细的施工时间表及横道图，施工进度安排合理可行，施工详细工作计划各阶段计划清晰，完全满足且优于采购需求的，得</w:t>
            </w:r>
            <w:r>
              <w:rPr>
                <w:rFonts w:hint="eastAsia" w:ascii="宋体" w:hAnsi="宋体"/>
                <w:lang w:val="en-US" w:eastAsia="zh-CN"/>
              </w:rPr>
              <w:t>10分</w:t>
            </w:r>
            <w:r>
              <w:rPr>
                <w:rFonts w:hint="eastAsia" w:ascii="宋体" w:hAnsi="宋体"/>
              </w:rPr>
              <w:t>；</w:t>
            </w:r>
          </w:p>
          <w:p>
            <w:pPr>
              <w:snapToGrid w:val="0"/>
              <w:spacing w:line="264" w:lineRule="auto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2.</w:t>
            </w:r>
            <w:r>
              <w:rPr>
                <w:rFonts w:hint="eastAsia" w:ascii="宋体" w:hAnsi="宋体"/>
                <w:lang w:eastAsia="zh-CN"/>
              </w:rPr>
              <w:t>施工工期较能满足磋商文件要求，有较完整详细的施工时间表及横道图，施工进度安排较合理可行，施工详细工作计划各阶段计划较清晰，完全满足采购需求的，得</w:t>
            </w:r>
            <w:r>
              <w:rPr>
                <w:rFonts w:hint="eastAsia" w:ascii="宋体" w:hAnsi="宋体"/>
                <w:lang w:val="en-US" w:eastAsia="zh-CN"/>
              </w:rPr>
              <w:t>7分</w:t>
            </w:r>
            <w:r>
              <w:rPr>
                <w:rFonts w:hint="eastAsia" w:ascii="宋体" w:hAnsi="宋体"/>
              </w:rPr>
              <w:t>；</w:t>
            </w:r>
          </w:p>
          <w:p>
            <w:pPr>
              <w:snapToGrid w:val="0"/>
              <w:spacing w:line="264" w:lineRule="auto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3.</w:t>
            </w:r>
            <w:r>
              <w:rPr>
                <w:rFonts w:hint="eastAsia" w:ascii="宋体" w:hAnsi="宋体"/>
                <w:lang w:eastAsia="zh-CN"/>
              </w:rPr>
              <w:t>施工工期基本能满足磋商文件要求，有基本详细的施工时间表及横道图，施工进度安排基本合理可行，施工详细工作计划各阶段计划基本清晰，基本满足采购需求的，得</w:t>
            </w:r>
            <w:r>
              <w:rPr>
                <w:rFonts w:hint="eastAsia" w:ascii="宋体" w:hAnsi="宋体"/>
                <w:lang w:val="en-US" w:eastAsia="zh-CN"/>
              </w:rPr>
              <w:t>4分</w:t>
            </w:r>
            <w:r>
              <w:rPr>
                <w:rFonts w:hint="eastAsia" w:ascii="宋体" w:hAnsi="宋体"/>
              </w:rPr>
              <w:t>；</w:t>
            </w:r>
          </w:p>
          <w:p>
            <w:pPr>
              <w:snapToGrid w:val="0"/>
              <w:spacing w:line="264" w:lineRule="auto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</w:rPr>
              <w:t>4.</w:t>
            </w:r>
            <w:r>
              <w:rPr>
                <w:rFonts w:hint="eastAsia" w:ascii="宋体" w:hAnsi="宋体"/>
                <w:lang w:eastAsia="zh-CN"/>
              </w:rPr>
              <w:t>施工工期不能很好满足磋商文件要求，施工时间表及横道图不够详细，施工进度安排不够合理可行，施工详细工作计划各阶段计划不够清晰，部分满足采购需求的，得</w:t>
            </w:r>
            <w:r>
              <w:rPr>
                <w:rFonts w:hint="eastAsia" w:ascii="宋体" w:hAnsi="宋体"/>
                <w:lang w:val="en-US" w:eastAsia="zh-CN"/>
              </w:rPr>
              <w:t>1分；</w:t>
            </w:r>
          </w:p>
          <w:p>
            <w:pPr>
              <w:snapToGrid w:val="0"/>
              <w:spacing w:line="264" w:lineRule="auto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5.不提供不得分</w:t>
            </w:r>
            <w:r>
              <w:rPr>
                <w:rFonts w:hint="eastAsia" w:ascii="宋体" w:hAnsi="宋体"/>
              </w:rPr>
              <w:t>。</w:t>
            </w:r>
          </w:p>
          <w:p>
            <w:pPr>
              <w:snapToGrid w:val="0"/>
              <w:spacing w:line="264" w:lineRule="auto"/>
              <w:rPr>
                <w:rFonts w:hint="eastAsia" w:ascii="宋体" w:hAnsi="宋体"/>
              </w:rPr>
            </w:pPr>
          </w:p>
        </w:tc>
        <w:tc>
          <w:tcPr>
            <w:tcW w:w="412" w:type="pct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264" w:lineRule="auto"/>
              <w:ind w:left="-78" w:leftChars="-37" w:right="-73" w:rightChars="-35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10</w:t>
            </w:r>
            <w:r>
              <w:rPr>
                <w:rFonts w:hint="eastAsia" w:ascii="宋体" w:hAnsi="宋体" w:cs="宋体"/>
              </w:rPr>
              <w:t>分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378" w:hRule="atLeast"/>
        </w:trPr>
        <w:tc>
          <w:tcPr>
            <w:tcW w:w="433" w:type="pct"/>
            <w:tcBorders>
              <w:left w:val="single" w:color="auto" w:sz="12" w:space="0"/>
            </w:tcBorders>
            <w:noWrap w:val="0"/>
            <w:vAlign w:val="center"/>
          </w:tcPr>
          <w:p>
            <w:pPr>
              <w:pStyle w:val="6"/>
              <w:widowControl w:val="0"/>
              <w:numPr>
                <w:ilvl w:val="0"/>
                <w:numId w:val="0"/>
              </w:numPr>
              <w:snapToGrid w:val="0"/>
              <w:spacing w:line="264" w:lineRule="auto"/>
              <w:ind w:firstLine="240" w:firstLineChars="100"/>
              <w:jc w:val="both"/>
              <w:rPr>
                <w:rFonts w:hint="eastAsia" w:ascii="宋体" w:hAnsi="宋体" w:eastAsia="黑体"/>
                <w:color w:val="FF0000"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3</w:t>
            </w:r>
          </w:p>
        </w:tc>
        <w:tc>
          <w:tcPr>
            <w:tcW w:w="578" w:type="pct"/>
            <w:noWrap w:val="0"/>
            <w:vAlign w:val="center"/>
          </w:tcPr>
          <w:p>
            <w:pPr>
              <w:snapToGrid w:val="0"/>
              <w:spacing w:line="264" w:lineRule="auto"/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  <w:lang w:eastAsia="zh-CN"/>
              </w:rPr>
              <w:t>工程质量管理方案</w:t>
            </w:r>
          </w:p>
        </w:tc>
        <w:tc>
          <w:tcPr>
            <w:tcW w:w="3575" w:type="pct"/>
            <w:noWrap w:val="0"/>
            <w:vAlign w:val="center"/>
          </w:tcPr>
          <w:p>
            <w:pPr>
              <w:snapToGrid w:val="0"/>
              <w:spacing w:line="264" w:lineRule="auto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根据供应商提供的</w:t>
            </w:r>
            <w:r>
              <w:rPr>
                <w:rFonts w:hint="eastAsia" w:ascii="宋体" w:hAnsi="宋体"/>
                <w:lang w:eastAsia="zh-CN"/>
              </w:rPr>
              <w:t>工程质量管理方案（包括工程质量事前控制，施工过程的质量控制，工程竣工验收的质量控制等）</w:t>
            </w:r>
            <w:r>
              <w:rPr>
                <w:rFonts w:hint="eastAsia" w:ascii="宋体" w:hAnsi="宋体"/>
              </w:rPr>
              <w:t>进行评审：</w:t>
            </w:r>
          </w:p>
          <w:p>
            <w:pPr>
              <w:snapToGrid w:val="0"/>
              <w:spacing w:line="264" w:lineRule="auto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1.</w:t>
            </w:r>
            <w:r>
              <w:rPr>
                <w:rFonts w:hint="eastAsia" w:ascii="宋体" w:hAnsi="宋体"/>
                <w:lang w:eastAsia="zh-CN"/>
              </w:rPr>
              <w:t>质量控制措施的事前控制措施针对性强，有效性高，过程控制措施细致完整，竣工验收控制措施全面，可行性高，完全满足且优于采购需求的，得</w:t>
            </w:r>
            <w:r>
              <w:rPr>
                <w:rFonts w:hint="eastAsia" w:ascii="宋体" w:hAnsi="宋体"/>
                <w:lang w:val="en-US" w:eastAsia="zh-CN"/>
              </w:rPr>
              <w:t>15分</w:t>
            </w:r>
            <w:r>
              <w:rPr>
                <w:rFonts w:hint="eastAsia" w:ascii="宋体" w:hAnsi="宋体"/>
              </w:rPr>
              <w:t>；</w:t>
            </w:r>
          </w:p>
          <w:p>
            <w:pPr>
              <w:snapToGrid w:val="0"/>
              <w:spacing w:line="264" w:lineRule="auto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2.</w:t>
            </w:r>
            <w:r>
              <w:rPr>
                <w:rFonts w:hint="eastAsia" w:ascii="宋体" w:hAnsi="宋体"/>
                <w:lang w:eastAsia="zh-CN"/>
              </w:rPr>
              <w:t>质量控制措施的事前控制措施针对性比较强，比较有效，过程控制措施比较细致完整，竣工验收控制措施比较全面，可行性比较高，完全满足采购需求的，得</w:t>
            </w:r>
            <w:r>
              <w:rPr>
                <w:rFonts w:hint="eastAsia" w:ascii="宋体" w:hAnsi="宋体"/>
                <w:lang w:val="en-US" w:eastAsia="zh-CN"/>
              </w:rPr>
              <w:t>11分</w:t>
            </w:r>
            <w:r>
              <w:rPr>
                <w:rFonts w:hint="eastAsia" w:ascii="宋体" w:hAnsi="宋体"/>
              </w:rPr>
              <w:t>；</w:t>
            </w:r>
          </w:p>
          <w:p>
            <w:pPr>
              <w:snapToGrid w:val="0"/>
              <w:spacing w:line="264" w:lineRule="auto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3.</w:t>
            </w:r>
            <w:r>
              <w:rPr>
                <w:rFonts w:hint="eastAsia" w:ascii="宋体" w:hAnsi="宋体"/>
                <w:lang w:eastAsia="zh-CN"/>
              </w:rPr>
              <w:t>质量控制措施的事前控制措施针对性比较低，效果不明显，过程控制措施基本完整，竣工验收控制措施基本全面，可行性比较低，基本满足采购需求的，得</w:t>
            </w:r>
            <w:r>
              <w:rPr>
                <w:rFonts w:hint="eastAsia" w:ascii="宋体" w:hAnsi="宋体"/>
                <w:lang w:val="en-US" w:eastAsia="zh-CN"/>
              </w:rPr>
              <w:t>7分</w:t>
            </w:r>
            <w:r>
              <w:rPr>
                <w:rFonts w:hint="eastAsia" w:ascii="宋体" w:hAnsi="宋体"/>
              </w:rPr>
              <w:t>；</w:t>
            </w:r>
          </w:p>
          <w:p>
            <w:pPr>
              <w:snapToGrid w:val="0"/>
              <w:spacing w:line="264" w:lineRule="auto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4.</w:t>
            </w:r>
            <w:r>
              <w:rPr>
                <w:rFonts w:hint="eastAsia" w:ascii="宋体" w:hAnsi="宋体"/>
                <w:lang w:eastAsia="zh-CN"/>
              </w:rPr>
              <w:t>质量控制措施的事前控制措施针对性较差，过程控制措施方案不够合理，竣工验收控制措施不够全面，可行性较差，部分满足采购需求的，得</w:t>
            </w:r>
            <w:r>
              <w:rPr>
                <w:rFonts w:hint="eastAsia" w:ascii="宋体" w:hAnsi="宋体"/>
                <w:lang w:val="en-US" w:eastAsia="zh-CN"/>
              </w:rPr>
              <w:t>4分</w:t>
            </w:r>
            <w:r>
              <w:rPr>
                <w:rFonts w:hint="eastAsia" w:ascii="宋体" w:hAnsi="宋体"/>
              </w:rPr>
              <w:t>；</w:t>
            </w:r>
          </w:p>
          <w:p>
            <w:pPr>
              <w:snapToGrid w:val="0"/>
              <w:spacing w:line="264" w:lineRule="auto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5.不提供不得分</w:t>
            </w:r>
            <w:r>
              <w:rPr>
                <w:rFonts w:hint="eastAsia" w:ascii="宋体" w:hAnsi="宋体"/>
              </w:rPr>
              <w:t>。</w:t>
            </w:r>
          </w:p>
        </w:tc>
        <w:tc>
          <w:tcPr>
            <w:tcW w:w="412" w:type="pct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264" w:lineRule="auto"/>
              <w:ind w:left="-78" w:leftChars="-37" w:right="-73" w:rightChars="-35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15</w:t>
            </w:r>
            <w:r>
              <w:rPr>
                <w:rFonts w:hint="eastAsia" w:ascii="宋体" w:hAnsi="宋体" w:cs="宋体"/>
              </w:rPr>
              <w:t>分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378" w:hRule="atLeast"/>
        </w:trPr>
        <w:tc>
          <w:tcPr>
            <w:tcW w:w="433" w:type="pct"/>
            <w:tcBorders>
              <w:left w:val="single" w:color="auto" w:sz="12" w:space="0"/>
            </w:tcBorders>
            <w:noWrap w:val="0"/>
            <w:vAlign w:val="center"/>
          </w:tcPr>
          <w:p>
            <w:pPr>
              <w:pStyle w:val="6"/>
              <w:widowControl w:val="0"/>
              <w:numPr>
                <w:ilvl w:val="0"/>
                <w:numId w:val="0"/>
              </w:numPr>
              <w:snapToGrid w:val="0"/>
              <w:spacing w:line="264" w:lineRule="auto"/>
              <w:ind w:firstLine="240" w:firstLineChars="100"/>
              <w:jc w:val="both"/>
              <w:rPr>
                <w:rFonts w:hint="eastAsia" w:ascii="宋体" w:hAnsi="宋体" w:eastAsia="黑体"/>
                <w:color w:val="FF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578" w:type="pct"/>
            <w:noWrap w:val="0"/>
            <w:vAlign w:val="center"/>
          </w:tcPr>
          <w:p>
            <w:pPr>
              <w:snapToGrid w:val="0"/>
              <w:spacing w:line="264" w:lineRule="auto"/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  <w:lang w:eastAsia="zh-CN"/>
              </w:rPr>
              <w:t>工程安全管理方案</w:t>
            </w:r>
          </w:p>
        </w:tc>
        <w:tc>
          <w:tcPr>
            <w:tcW w:w="3575" w:type="pct"/>
            <w:noWrap w:val="0"/>
            <w:vAlign w:val="center"/>
          </w:tcPr>
          <w:p>
            <w:pPr>
              <w:snapToGrid w:val="0"/>
              <w:spacing w:line="264" w:lineRule="auto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根据供应商提供的</w:t>
            </w:r>
            <w:r>
              <w:rPr>
                <w:rFonts w:hint="eastAsia" w:ascii="宋体" w:hAnsi="宋体"/>
                <w:lang w:eastAsia="zh-CN"/>
              </w:rPr>
              <w:t>工程安全管理方案（包括环境保护措施、安全文明措施、应急预案、突发性事件保障措施等）</w:t>
            </w:r>
            <w:r>
              <w:rPr>
                <w:rFonts w:hint="eastAsia" w:ascii="宋体" w:hAnsi="宋体"/>
              </w:rPr>
              <w:t>进行评审：</w:t>
            </w:r>
          </w:p>
          <w:p>
            <w:pPr>
              <w:snapToGrid w:val="0"/>
              <w:spacing w:line="264" w:lineRule="auto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1.</w:t>
            </w:r>
            <w:r>
              <w:rPr>
                <w:rFonts w:hint="eastAsia" w:ascii="宋体" w:hAnsi="宋体"/>
                <w:lang w:eastAsia="zh-CN"/>
              </w:rPr>
              <w:t>环境保护措施有效得当，安全文明措施可实施性高，应急预案全面细致，突发性事件保障措施针对性强，完全满足且优于采购需求的</w:t>
            </w:r>
            <w:r>
              <w:rPr>
                <w:rFonts w:hint="eastAsia" w:ascii="宋体" w:hAnsi="宋体"/>
              </w:rPr>
              <w:t>，得1</w:t>
            </w:r>
            <w:r>
              <w:rPr>
                <w:rFonts w:hint="eastAsia" w:ascii="宋体" w:hAnsi="宋体"/>
                <w:lang w:val="en-US" w:eastAsia="zh-CN"/>
              </w:rPr>
              <w:t>0</w:t>
            </w:r>
            <w:r>
              <w:rPr>
                <w:rFonts w:hint="eastAsia" w:ascii="宋体" w:hAnsi="宋体"/>
              </w:rPr>
              <w:t>分；</w:t>
            </w:r>
          </w:p>
          <w:p>
            <w:pPr>
              <w:snapToGrid w:val="0"/>
              <w:spacing w:line="264" w:lineRule="auto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2.</w:t>
            </w:r>
            <w:r>
              <w:rPr>
                <w:rFonts w:hint="eastAsia" w:ascii="宋体" w:hAnsi="宋体"/>
                <w:lang w:eastAsia="zh-CN"/>
              </w:rPr>
              <w:t>环境保护措施较有效得当，安全文明措施可实施性较高，应急预案较全面细致，突发性事件保障措施针对性较强，完全满足采购需求的</w:t>
            </w:r>
            <w:r>
              <w:rPr>
                <w:rFonts w:hint="eastAsia" w:ascii="宋体" w:hAnsi="宋体"/>
              </w:rPr>
              <w:t>，得</w:t>
            </w:r>
            <w:r>
              <w:rPr>
                <w:rFonts w:hint="eastAsia" w:ascii="宋体" w:hAnsi="宋体"/>
                <w:lang w:val="en-US" w:eastAsia="zh-CN"/>
              </w:rPr>
              <w:t>7</w:t>
            </w:r>
            <w:r>
              <w:rPr>
                <w:rFonts w:hint="eastAsia" w:ascii="宋体" w:hAnsi="宋体"/>
              </w:rPr>
              <w:t>分；</w:t>
            </w:r>
          </w:p>
          <w:p>
            <w:pPr>
              <w:snapToGrid w:val="0"/>
              <w:spacing w:line="264" w:lineRule="auto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3.</w:t>
            </w:r>
            <w:r>
              <w:rPr>
                <w:rFonts w:hint="eastAsia" w:ascii="宋体" w:hAnsi="宋体"/>
                <w:lang w:eastAsia="zh-CN"/>
              </w:rPr>
              <w:t>环境保护措施基本有效得当，安全文明措施有一定可实施性，应急预案基本全面细致，突发性事件保障措施有一定针对性，基本满足采购需求的</w:t>
            </w:r>
            <w:r>
              <w:rPr>
                <w:rFonts w:hint="eastAsia" w:ascii="宋体" w:hAnsi="宋体"/>
              </w:rPr>
              <w:t>，得</w:t>
            </w:r>
            <w:r>
              <w:rPr>
                <w:rFonts w:hint="eastAsia" w:ascii="宋体" w:hAnsi="宋体"/>
                <w:lang w:val="en-US" w:eastAsia="zh-CN"/>
              </w:rPr>
              <w:t>4</w:t>
            </w:r>
            <w:r>
              <w:rPr>
                <w:rFonts w:hint="eastAsia" w:ascii="宋体" w:hAnsi="宋体"/>
              </w:rPr>
              <w:t>分；</w:t>
            </w:r>
          </w:p>
          <w:p>
            <w:pPr>
              <w:snapToGrid w:val="0"/>
              <w:spacing w:line="264" w:lineRule="auto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</w:rPr>
              <w:t>4.</w:t>
            </w:r>
            <w:r>
              <w:rPr>
                <w:rFonts w:hint="eastAsia" w:ascii="宋体" w:hAnsi="宋体"/>
                <w:lang w:eastAsia="zh-CN"/>
              </w:rPr>
              <w:t>环撞保护措施不够有效，安全文明措施实施性较差，应急预案不够全面细致，突发性事件保障措施不够有针对性，部分满足采购需求的，得</w:t>
            </w:r>
            <w:r>
              <w:rPr>
                <w:rFonts w:hint="eastAsia" w:ascii="宋体" w:hAnsi="宋体"/>
                <w:lang w:val="en-US" w:eastAsia="zh-CN"/>
              </w:rPr>
              <w:t>1分；</w:t>
            </w:r>
          </w:p>
          <w:p>
            <w:pPr>
              <w:snapToGrid w:val="0"/>
              <w:spacing w:line="264" w:lineRule="auto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5.</w:t>
            </w:r>
            <w:r>
              <w:rPr>
                <w:rFonts w:hint="eastAsia" w:ascii="宋体" w:hAnsi="宋体"/>
              </w:rPr>
              <w:t>不提供不得分。</w:t>
            </w:r>
          </w:p>
        </w:tc>
        <w:tc>
          <w:tcPr>
            <w:tcW w:w="412" w:type="pct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264" w:lineRule="auto"/>
              <w:ind w:left="-78" w:leftChars="-37" w:right="-73" w:rightChars="-35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10</w:t>
            </w:r>
            <w:r>
              <w:rPr>
                <w:rFonts w:hint="eastAsia" w:ascii="宋体" w:hAnsi="宋体" w:cs="宋体"/>
              </w:rPr>
              <w:t>分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861" w:hRule="atLeast"/>
        </w:trPr>
        <w:tc>
          <w:tcPr>
            <w:tcW w:w="433" w:type="pct"/>
            <w:tcBorders>
              <w:left w:val="single" w:color="auto" w:sz="12" w:space="0"/>
            </w:tcBorders>
            <w:noWrap w:val="0"/>
            <w:vAlign w:val="center"/>
          </w:tcPr>
          <w:p>
            <w:pPr>
              <w:pStyle w:val="6"/>
              <w:widowControl w:val="0"/>
              <w:numPr>
                <w:ilvl w:val="0"/>
                <w:numId w:val="0"/>
              </w:numPr>
              <w:snapToGrid w:val="0"/>
              <w:spacing w:line="264" w:lineRule="auto"/>
              <w:jc w:val="center"/>
              <w:rPr>
                <w:rFonts w:hint="eastAsia" w:ascii="宋体" w:hAnsi="宋体" w:eastAsia="黑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578" w:type="pct"/>
            <w:noWrap w:val="0"/>
            <w:vAlign w:val="center"/>
          </w:tcPr>
          <w:p>
            <w:pPr>
              <w:snapToGrid w:val="0"/>
              <w:spacing w:line="264" w:lineRule="auto"/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  <w:lang w:eastAsia="zh-CN"/>
              </w:rPr>
              <w:t>质保期限服务方案</w:t>
            </w:r>
          </w:p>
        </w:tc>
        <w:tc>
          <w:tcPr>
            <w:tcW w:w="3575" w:type="pct"/>
            <w:noWrap w:val="0"/>
            <w:vAlign w:val="center"/>
          </w:tcPr>
          <w:p>
            <w:pPr>
              <w:snapToGrid w:val="0"/>
              <w:spacing w:line="264" w:lineRule="auto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根据供应商</w:t>
            </w:r>
            <w:r>
              <w:rPr>
                <w:rFonts w:hint="eastAsia" w:ascii="宋体" w:hAnsi="宋体"/>
                <w:lang w:eastAsia="zh-CN"/>
              </w:rPr>
              <w:t>针对对本项目</w:t>
            </w:r>
            <w:r>
              <w:rPr>
                <w:rFonts w:hint="eastAsia" w:ascii="宋体" w:hAnsi="宋体"/>
              </w:rPr>
              <w:t>提供的</w:t>
            </w:r>
            <w:r>
              <w:rPr>
                <w:rFonts w:hint="eastAsia" w:ascii="宋体" w:hAnsi="宋体"/>
                <w:lang w:eastAsia="zh-CN"/>
              </w:rPr>
              <w:t>质保期服务</w:t>
            </w:r>
            <w:r>
              <w:rPr>
                <w:rFonts w:hint="eastAsia" w:ascii="宋体" w:hAnsi="宋体"/>
              </w:rPr>
              <w:t>方案（包括</w:t>
            </w:r>
            <w:r>
              <w:rPr>
                <w:rFonts w:hint="eastAsia" w:ascii="宋体" w:hAnsi="宋体"/>
                <w:lang w:eastAsia="zh-CN"/>
              </w:rPr>
              <w:t>质保期各阶段服务计划、质保期服务、维护保养期服务等</w:t>
            </w:r>
            <w:r>
              <w:rPr>
                <w:rFonts w:hint="eastAsia" w:ascii="宋体" w:hAnsi="宋体"/>
              </w:rPr>
              <w:t>）进行评</w:t>
            </w:r>
            <w:r>
              <w:rPr>
                <w:rFonts w:hint="eastAsia" w:ascii="宋体" w:hAnsi="宋体"/>
                <w:lang w:eastAsia="zh-CN"/>
              </w:rPr>
              <w:t>分</w:t>
            </w:r>
            <w:r>
              <w:rPr>
                <w:rFonts w:hint="eastAsia" w:ascii="宋体" w:hAnsi="宋体"/>
              </w:rPr>
              <w:t>：</w:t>
            </w:r>
          </w:p>
          <w:p>
            <w:pPr>
              <w:snapToGrid w:val="0"/>
              <w:spacing w:line="264" w:lineRule="auto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1.</w:t>
            </w:r>
            <w:r>
              <w:rPr>
                <w:rFonts w:hint="eastAsia" w:ascii="宋体" w:hAnsi="宋体"/>
                <w:lang w:eastAsia="zh-CN"/>
              </w:rPr>
              <w:t>工程质保期服务方案各阶段服务计划安排合理、质保期服务、维护保养期服务非常完善，完全满足且优于采购需求的</w:t>
            </w:r>
            <w:r>
              <w:rPr>
                <w:rFonts w:hint="eastAsia" w:ascii="宋体" w:hAnsi="宋体"/>
              </w:rPr>
              <w:t>，得</w:t>
            </w:r>
            <w:r>
              <w:rPr>
                <w:rFonts w:hint="eastAsia" w:ascii="宋体" w:hAnsi="宋体"/>
                <w:lang w:val="en-US" w:eastAsia="zh-CN"/>
              </w:rPr>
              <w:t>5</w:t>
            </w:r>
            <w:r>
              <w:rPr>
                <w:rFonts w:hint="eastAsia" w:ascii="宋体" w:hAnsi="宋体"/>
              </w:rPr>
              <w:t>分；</w:t>
            </w:r>
          </w:p>
          <w:p>
            <w:pPr>
              <w:snapToGrid w:val="0"/>
              <w:spacing w:line="264" w:lineRule="auto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2.</w:t>
            </w:r>
            <w:r>
              <w:rPr>
                <w:rFonts w:hint="eastAsia" w:ascii="宋体" w:hAnsi="宋体"/>
                <w:lang w:eastAsia="zh-CN"/>
              </w:rPr>
              <w:t>工程质保期服务方案各阶段服务计划安排较合理、质保期服务、维护保养期服务比较完善，完全满足采购需求的</w:t>
            </w:r>
            <w:r>
              <w:rPr>
                <w:rFonts w:hint="eastAsia" w:ascii="宋体" w:hAnsi="宋体"/>
              </w:rPr>
              <w:t>，得</w:t>
            </w:r>
            <w:r>
              <w:rPr>
                <w:rFonts w:hint="eastAsia" w:ascii="宋体" w:hAnsi="宋体"/>
                <w:lang w:val="en-US" w:eastAsia="zh-CN"/>
              </w:rPr>
              <w:t>3</w:t>
            </w:r>
            <w:r>
              <w:rPr>
                <w:rFonts w:hint="eastAsia" w:ascii="宋体" w:hAnsi="宋体"/>
              </w:rPr>
              <w:t>分；</w:t>
            </w:r>
          </w:p>
          <w:p>
            <w:pPr>
              <w:snapToGrid w:val="0"/>
              <w:spacing w:line="264" w:lineRule="auto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3.</w:t>
            </w:r>
            <w:r>
              <w:rPr>
                <w:rFonts w:hint="eastAsia" w:ascii="宋体" w:hAnsi="宋体"/>
                <w:lang w:eastAsia="zh-CN"/>
              </w:rPr>
              <w:t>工程质保期服务方案各阶段服务计划安排基本合理、质保期服务、维护保养期服务基本完善，基本满足采购需求的</w:t>
            </w:r>
            <w:r>
              <w:rPr>
                <w:rFonts w:hint="eastAsia" w:ascii="宋体" w:hAnsi="宋体"/>
              </w:rPr>
              <w:t>，得</w:t>
            </w:r>
            <w:r>
              <w:rPr>
                <w:rFonts w:hint="eastAsia" w:ascii="宋体" w:hAnsi="宋体"/>
                <w:lang w:val="en-US" w:eastAsia="zh-CN"/>
              </w:rPr>
              <w:t>2</w:t>
            </w:r>
            <w:r>
              <w:rPr>
                <w:rFonts w:hint="eastAsia" w:ascii="宋体" w:hAnsi="宋体"/>
              </w:rPr>
              <w:t>分；</w:t>
            </w:r>
          </w:p>
          <w:p>
            <w:pPr>
              <w:snapToGrid w:val="0"/>
              <w:spacing w:line="264" w:lineRule="auto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4.</w:t>
            </w:r>
            <w:r>
              <w:rPr>
                <w:rFonts w:hint="eastAsia" w:ascii="宋体" w:hAnsi="宋体"/>
                <w:lang w:eastAsia="zh-CN"/>
              </w:rPr>
              <w:t>工程质保期服务方案各阶段服务计划安排不够合理、质保期服务、维护保养期服务不够完善，部分满足采购需求的</w:t>
            </w:r>
            <w:r>
              <w:rPr>
                <w:rFonts w:hint="eastAsia" w:ascii="宋体" w:hAnsi="宋体"/>
              </w:rPr>
              <w:t>，得</w:t>
            </w:r>
            <w:r>
              <w:rPr>
                <w:rFonts w:hint="eastAsia" w:ascii="宋体" w:hAnsi="宋体"/>
                <w:lang w:val="en-US" w:eastAsia="zh-CN"/>
              </w:rPr>
              <w:t>1</w:t>
            </w:r>
            <w:r>
              <w:rPr>
                <w:rFonts w:hint="eastAsia" w:ascii="宋体" w:hAnsi="宋体"/>
              </w:rPr>
              <w:t>分；</w:t>
            </w:r>
          </w:p>
          <w:p>
            <w:pPr>
              <w:snapToGrid w:val="0"/>
              <w:spacing w:line="264" w:lineRule="auto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5.</w:t>
            </w:r>
            <w:r>
              <w:rPr>
                <w:rFonts w:hint="eastAsia" w:ascii="宋体" w:hAnsi="宋体"/>
              </w:rPr>
              <w:t>不提供不得分。</w:t>
            </w:r>
            <w:r>
              <w:rPr>
                <w:rFonts w:hint="eastAsia" w:ascii="宋体" w:hAnsi="宋体"/>
                <w:lang w:val="en-US" w:eastAsia="zh-CN"/>
              </w:rPr>
              <w:t xml:space="preserve"> </w:t>
            </w:r>
          </w:p>
        </w:tc>
        <w:tc>
          <w:tcPr>
            <w:tcW w:w="412" w:type="pct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264" w:lineRule="auto"/>
              <w:ind w:left="-78" w:leftChars="-37" w:right="-73" w:rightChars="-35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</w:rPr>
              <w:t>分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377" w:hRule="atLeast"/>
        </w:trPr>
        <w:tc>
          <w:tcPr>
            <w:tcW w:w="433" w:type="pct"/>
            <w:tcBorders>
              <w:top w:val="single" w:color="auto" w:sz="4" w:space="0"/>
              <w:left w:val="single" w:color="auto" w:sz="12" w:space="0"/>
            </w:tcBorders>
            <w:noWrap w:val="0"/>
            <w:vAlign w:val="center"/>
          </w:tcPr>
          <w:p>
            <w:pPr>
              <w:widowControl/>
              <w:snapToGrid w:val="0"/>
              <w:spacing w:line="264" w:lineRule="auto"/>
              <w:jc w:val="center"/>
              <w:rPr>
                <w:rFonts w:ascii="黑体" w:hAnsi="宋体" w:eastAsia="黑体" w:cs="宋体"/>
                <w:sz w:val="24"/>
              </w:rPr>
            </w:pPr>
            <w:r>
              <w:rPr>
                <w:rFonts w:hint="eastAsia" w:ascii="黑体" w:hAnsi="宋体" w:eastAsia="黑体" w:cs="宋体"/>
                <w:sz w:val="24"/>
              </w:rPr>
              <w:t>二</w:t>
            </w:r>
          </w:p>
        </w:tc>
        <w:tc>
          <w:tcPr>
            <w:tcW w:w="4566" w:type="pct"/>
            <w:gridSpan w:val="3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snapToGrid w:val="0"/>
              <w:spacing w:line="264" w:lineRule="auto"/>
              <w:ind w:left="-78" w:leftChars="-37" w:right="-73" w:rightChars="-35"/>
              <w:jc w:val="center"/>
              <w:rPr>
                <w:rFonts w:ascii="黑体" w:hAnsi="宋体" w:eastAsia="黑体" w:cs="宋体"/>
                <w:sz w:val="24"/>
              </w:rPr>
            </w:pPr>
            <w:r>
              <w:rPr>
                <w:rFonts w:hint="eastAsia" w:ascii="黑体" w:hAnsi="宋体" w:eastAsia="黑体" w:cs="宋体"/>
                <w:sz w:val="24"/>
              </w:rPr>
              <w:t>商务部分(合计</w:t>
            </w:r>
            <w:r>
              <w:rPr>
                <w:rFonts w:hint="eastAsia" w:ascii="黑体" w:hAnsi="宋体" w:eastAsia="黑体" w:cs="宋体"/>
                <w:sz w:val="24"/>
                <w:lang w:val="en-US" w:eastAsia="zh-CN"/>
              </w:rPr>
              <w:t>30</w:t>
            </w:r>
            <w:r>
              <w:rPr>
                <w:rFonts w:hint="eastAsia" w:ascii="黑体" w:hAnsi="宋体" w:eastAsia="黑体" w:cs="宋体"/>
                <w:sz w:val="24"/>
              </w:rPr>
              <w:t>分)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90" w:hRule="atLeast"/>
        </w:trPr>
        <w:tc>
          <w:tcPr>
            <w:tcW w:w="433" w:type="pct"/>
            <w:tcBorders>
              <w:left w:val="single" w:color="auto" w:sz="12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6"/>
              <w:widowControl w:val="0"/>
              <w:numPr>
                <w:ilvl w:val="0"/>
                <w:numId w:val="0"/>
              </w:numPr>
              <w:snapToGrid w:val="0"/>
              <w:spacing w:line="264" w:lineRule="auto"/>
              <w:ind w:firstLine="240" w:firstLineChars="100"/>
              <w:jc w:val="both"/>
              <w:rPr>
                <w:rFonts w:hint="eastAsia" w:ascii="宋体" w:hAnsi="宋体" w:eastAsia="黑体"/>
                <w:color w:val="FF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578" w:type="pct"/>
            <w:noWrap w:val="0"/>
            <w:vAlign w:val="center"/>
          </w:tcPr>
          <w:p>
            <w:pPr>
              <w:snapToGrid w:val="0"/>
              <w:spacing w:line="264" w:lineRule="auto"/>
              <w:ind w:right="-88" w:rightChars="-42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同类项目</w:t>
            </w:r>
          </w:p>
          <w:p>
            <w:pPr>
              <w:snapToGrid w:val="0"/>
              <w:spacing w:line="264" w:lineRule="auto"/>
              <w:ind w:right="-88" w:rightChars="-42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业绩</w:t>
            </w:r>
            <w:r>
              <w:rPr>
                <w:rFonts w:hint="eastAsia" w:ascii="宋体" w:hAnsi="宋体" w:cs="宋体"/>
                <w:lang w:eastAsia="zh-CN"/>
              </w:rPr>
              <w:t>情况</w:t>
            </w:r>
          </w:p>
        </w:tc>
        <w:tc>
          <w:tcPr>
            <w:tcW w:w="3575" w:type="pct"/>
            <w:noWrap w:val="0"/>
            <w:vAlign w:val="center"/>
          </w:tcPr>
          <w:p>
            <w:pPr>
              <w:snapToGrid w:val="0"/>
              <w:spacing w:line="264" w:lineRule="auto"/>
              <w:ind w:left="40" w:leftChars="19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</w:rPr>
              <w:t>根据供应</w:t>
            </w:r>
            <w:r>
              <w:rPr>
                <w:rFonts w:hint="eastAsia" w:ascii="宋体" w:hAnsi="宋体"/>
                <w:color w:val="auto"/>
              </w:rPr>
              <w:t>商</w:t>
            </w:r>
            <w:r>
              <w:rPr>
                <w:rFonts w:hint="eastAsia" w:ascii="宋体" w:hAnsi="宋体"/>
                <w:color w:val="auto"/>
                <w:lang w:eastAsia="zh-CN"/>
              </w:rPr>
              <w:t>2023年</w:t>
            </w:r>
            <w:r>
              <w:rPr>
                <w:rFonts w:hint="eastAsia" w:ascii="宋体" w:hAnsi="宋体"/>
                <w:color w:val="auto"/>
              </w:rPr>
              <w:t>1月1日起至提交响应文件截止之日，完成过质量合格的</w:t>
            </w:r>
            <w:r>
              <w:rPr>
                <w:rFonts w:hint="eastAsia" w:ascii="宋体" w:hAnsi="宋体"/>
                <w:color w:val="auto"/>
                <w:lang w:val="en-US" w:eastAsia="zh-CN"/>
              </w:rPr>
              <w:t>放射射线防护</w:t>
            </w:r>
            <w:r>
              <w:rPr>
                <w:rFonts w:hint="eastAsia" w:ascii="宋体" w:hAnsi="宋体"/>
                <w:color w:val="auto"/>
              </w:rPr>
              <w:t>装修或修缮类工程业绩，每提供一项得2分，本小项最高得10分；</w:t>
            </w:r>
          </w:p>
          <w:p>
            <w:pPr>
              <w:snapToGrid w:val="0"/>
              <w:spacing w:line="264" w:lineRule="auto"/>
              <w:ind w:left="40" w:leftChars="19" w:right="-88" w:rightChars="-42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color w:val="auto"/>
              </w:rPr>
              <w:t>注：须提供合同关键页（须体现工作内容包括装修或修缮工程）复印件加盖供应商公章，否则不得分。需提供项目上施工合同、竣工验收报告复印件。完成时间以竣工验收文件为准，验收文件至少具有建设单位、施工单位</w:t>
            </w:r>
            <w:r>
              <w:rPr>
                <w:rFonts w:hint="eastAsia" w:ascii="宋体" w:hAnsi="宋体"/>
              </w:rPr>
              <w:t>盖章。</w:t>
            </w:r>
          </w:p>
        </w:tc>
        <w:tc>
          <w:tcPr>
            <w:tcW w:w="412" w:type="pct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264" w:lineRule="auto"/>
              <w:ind w:left="-78" w:leftChars="-37" w:right="-73" w:rightChars="-35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10</w:t>
            </w:r>
            <w:r>
              <w:rPr>
                <w:rFonts w:hint="eastAsia" w:ascii="宋体" w:hAnsi="宋体" w:cs="宋体"/>
              </w:rPr>
              <w:t>分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861" w:hRule="atLeast"/>
        </w:trPr>
        <w:tc>
          <w:tcPr>
            <w:tcW w:w="43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6"/>
              <w:widowControl w:val="0"/>
              <w:numPr>
                <w:ilvl w:val="0"/>
                <w:numId w:val="0"/>
              </w:numPr>
              <w:snapToGrid w:val="0"/>
              <w:spacing w:line="264" w:lineRule="auto"/>
              <w:ind w:firstLine="240" w:firstLineChars="100"/>
              <w:jc w:val="both"/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578" w:type="pct"/>
            <w:noWrap w:val="0"/>
            <w:vAlign w:val="center"/>
          </w:tcPr>
          <w:p>
            <w:pPr>
              <w:snapToGrid w:val="0"/>
              <w:spacing w:line="264" w:lineRule="auto"/>
              <w:jc w:val="center"/>
              <w:rPr>
                <w:rFonts w:hint="eastAsia" w:ascii="宋体" w:hAnsi="宋体" w:cs="宋体"/>
                <w:lang w:eastAsia="zh-CN"/>
              </w:rPr>
            </w:pPr>
            <w:r>
              <w:t xml:space="preserve">用户评价 </w:t>
            </w:r>
          </w:p>
        </w:tc>
        <w:tc>
          <w:tcPr>
            <w:tcW w:w="3575" w:type="pct"/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snapToGrid w:val="0"/>
              <w:spacing w:line="264" w:lineRule="auto"/>
              <w:rPr>
                <w:rFonts w:hint="eastAsia" w:ascii="宋体" w:hAnsi="宋体"/>
              </w:rPr>
            </w:pPr>
            <w:r>
              <w:rPr>
                <w:rFonts w:hint="eastAsia"/>
                <w:lang w:eastAsia="zh-CN"/>
              </w:rPr>
              <w:t>2023年</w:t>
            </w:r>
            <w:r>
              <w:t>1月1日以来的用户评价材料，获得项目用户考核正面评价（优秀、优良、良好、满意或达到90分以上相当于正面评价）且评价文件须体现评价单位及联系方式（如评价文件无体现的，则供应商须另外提供评价单位及联系方式）。每提供一份得1分，最高得</w:t>
            </w:r>
            <w:r>
              <w:rPr>
                <w:rFonts w:hint="eastAsia"/>
                <w:lang w:val="en-US" w:eastAsia="zh-CN"/>
              </w:rPr>
              <w:t>3</w:t>
            </w:r>
            <w:r>
              <w:t>分。 注：响应供应商应提供业主服务评价文件扫描件（上面需有合同采购人或采购人项目主管部门的印章）并加盖响应供应商公章，不提供不得分。</w:t>
            </w:r>
          </w:p>
        </w:tc>
        <w:tc>
          <w:tcPr>
            <w:tcW w:w="412" w:type="pct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264" w:lineRule="auto"/>
              <w:ind w:left="-78" w:leftChars="-37" w:right="-73" w:rightChars="-35"/>
              <w:jc w:val="center"/>
              <w:rPr>
                <w:rFonts w:hint="eastAsia" w:ascii="宋体" w:hAnsi="宋体" w:cs="宋体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3分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861" w:hRule="atLeast"/>
        </w:trPr>
        <w:tc>
          <w:tcPr>
            <w:tcW w:w="43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6"/>
              <w:widowControl w:val="0"/>
              <w:numPr>
                <w:ilvl w:val="0"/>
                <w:numId w:val="0"/>
              </w:numPr>
              <w:snapToGrid w:val="0"/>
              <w:spacing w:line="264" w:lineRule="auto"/>
              <w:ind w:firstLine="240" w:firstLineChars="100"/>
              <w:jc w:val="both"/>
              <w:rPr>
                <w:rFonts w:hint="eastAsia" w:ascii="宋体" w:hAnsi="宋体" w:eastAsia="黑体"/>
                <w:color w:val="FF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578" w:type="pct"/>
            <w:noWrap w:val="0"/>
            <w:vAlign w:val="center"/>
          </w:tcPr>
          <w:p>
            <w:pPr>
              <w:snapToGrid w:val="0"/>
              <w:spacing w:line="264" w:lineRule="auto"/>
              <w:jc w:val="center"/>
              <w:rPr>
                <w:rFonts w:hint="default" w:ascii="宋体" w:hAnsi="宋体" w:eastAsia="宋体" w:cs="宋体"/>
                <w:color w:val="auto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lang w:val="en-US" w:eastAsia="zh-CN"/>
              </w:rPr>
              <w:t>拟投入项目人员情况</w:t>
            </w:r>
          </w:p>
        </w:tc>
        <w:tc>
          <w:tcPr>
            <w:tcW w:w="3575" w:type="pct"/>
            <w:noWrap w:val="0"/>
            <w:vAlign w:val="center"/>
          </w:tcPr>
          <w:p>
            <w:pPr>
              <w:widowControl/>
              <w:snapToGrid w:val="0"/>
              <w:spacing w:line="264" w:lineRule="auto"/>
              <w:rPr>
                <w:rFonts w:hint="eastAsia"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>1.项目负责人（本项最高8分）：</w:t>
            </w:r>
          </w:p>
          <w:p>
            <w:pPr>
              <w:widowControl/>
              <w:snapToGrid w:val="0"/>
              <w:spacing w:line="264" w:lineRule="auto"/>
              <w:rPr>
                <w:rFonts w:hint="eastAsia"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auto"/>
                <w:lang w:eastAsia="zh-CN"/>
              </w:rPr>
              <w:t>）</w:t>
            </w:r>
            <w:r>
              <w:rPr>
                <w:rFonts w:hint="eastAsia" w:ascii="宋体" w:hAnsi="宋体" w:cs="宋体"/>
                <w:color w:val="auto"/>
              </w:rPr>
              <w:t>具有</w:t>
            </w:r>
            <w:r>
              <w:rPr>
                <w:color w:val="auto"/>
              </w:rPr>
              <w:t>建筑工程相关专业职称</w:t>
            </w:r>
            <w:r>
              <w:rPr>
                <w:rFonts w:hint="eastAsia"/>
                <w:color w:val="auto"/>
              </w:rPr>
              <w:t>，</w:t>
            </w:r>
            <w:r>
              <w:rPr>
                <w:rFonts w:hint="eastAsia" w:ascii="宋体" w:hAnsi="宋体" w:cs="宋体"/>
                <w:color w:val="auto"/>
              </w:rPr>
              <w:t>高级（或以上）工程师，得4分；</w:t>
            </w:r>
            <w:r>
              <w:rPr>
                <w:color w:val="auto"/>
              </w:rPr>
              <w:t>中级</w:t>
            </w:r>
            <w:r>
              <w:rPr>
                <w:rFonts w:hint="eastAsia" w:ascii="宋体" w:hAnsi="宋体" w:cs="宋体"/>
                <w:color w:val="auto"/>
              </w:rPr>
              <w:t>工程师</w:t>
            </w:r>
            <w:r>
              <w:rPr>
                <w:color w:val="auto"/>
              </w:rPr>
              <w:t>得</w:t>
            </w:r>
            <w:r>
              <w:rPr>
                <w:rFonts w:hint="eastAsia"/>
                <w:color w:val="auto"/>
              </w:rPr>
              <w:t>2</w:t>
            </w:r>
            <w:r>
              <w:rPr>
                <w:color w:val="auto"/>
              </w:rPr>
              <w:t>分</w:t>
            </w:r>
            <w:r>
              <w:rPr>
                <w:rFonts w:hint="eastAsia"/>
                <w:color w:val="auto"/>
              </w:rPr>
              <w:t>；</w:t>
            </w:r>
            <w:r>
              <w:rPr>
                <w:rFonts w:hint="eastAsia" w:ascii="宋体" w:hAnsi="宋体" w:cs="宋体"/>
                <w:color w:val="auto"/>
                <w:lang w:val="en-US" w:eastAsia="zh-CN"/>
              </w:rPr>
              <w:t>其他情况</w:t>
            </w:r>
            <w:r>
              <w:rPr>
                <w:rFonts w:hint="eastAsia" w:ascii="宋体" w:hAnsi="宋体" w:cs="宋体"/>
                <w:color w:val="auto"/>
              </w:rPr>
              <w:t>不得分；</w:t>
            </w:r>
          </w:p>
          <w:p>
            <w:pPr>
              <w:widowControl/>
              <w:snapToGrid w:val="0"/>
              <w:spacing w:line="264" w:lineRule="auto"/>
              <w:rPr>
                <w:rFonts w:hint="eastAsia" w:ascii="宋体" w:hAnsi="宋体" w:eastAsia="宋体" w:cs="宋体"/>
                <w:color w:val="auto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color w:val="auto"/>
                <w:lang w:eastAsia="zh-CN"/>
              </w:rPr>
              <w:t>）</w:t>
            </w:r>
            <w:r>
              <w:rPr>
                <w:rFonts w:hint="eastAsia" w:ascii="宋体" w:hAnsi="宋体" w:cs="宋体"/>
                <w:color w:val="auto"/>
              </w:rPr>
              <w:t>自</w:t>
            </w:r>
            <w:r>
              <w:rPr>
                <w:rFonts w:hint="eastAsia" w:ascii="宋体" w:hAnsi="宋体" w:cs="宋体"/>
                <w:color w:val="auto"/>
                <w:lang w:eastAsia="zh-CN"/>
              </w:rPr>
              <w:t>2023年</w:t>
            </w:r>
            <w:r>
              <w:rPr>
                <w:rFonts w:hint="eastAsia" w:ascii="宋体" w:hAnsi="宋体" w:cs="宋体"/>
                <w:color w:val="auto"/>
              </w:rPr>
              <w:t>1月1日至投标截止时间止，担任项目负责人完成过质量合格的装修或修缮类工程的，每项得2分，本项最高得4分。</w:t>
            </w:r>
            <w:r>
              <w:rPr>
                <w:rFonts w:hint="eastAsia" w:ascii="宋体" w:hAnsi="宋体" w:cs="宋体"/>
                <w:b/>
                <w:bCs/>
                <w:color w:val="auto"/>
                <w:lang w:eastAsia="zh-CN"/>
              </w:rPr>
              <w:t>（</w:t>
            </w:r>
            <w:r>
              <w:rPr>
                <w:rFonts w:hint="eastAsia" w:ascii="宋体" w:hAnsi="宋体" w:cs="宋体"/>
                <w:b/>
                <w:bCs/>
                <w:color w:val="auto"/>
                <w:lang w:val="en-US" w:eastAsia="zh-CN"/>
              </w:rPr>
              <w:t>提供体现项目负责人名称的合同或验收报告作为证明材料，不提供不得分。</w:t>
            </w:r>
            <w:r>
              <w:rPr>
                <w:rFonts w:hint="eastAsia" w:ascii="宋体" w:hAnsi="宋体" w:cs="宋体"/>
                <w:b/>
                <w:bCs/>
                <w:color w:val="auto"/>
                <w:lang w:eastAsia="zh-CN"/>
              </w:rPr>
              <w:t>）</w:t>
            </w:r>
          </w:p>
          <w:p>
            <w:pPr>
              <w:widowControl/>
              <w:snapToGrid w:val="0"/>
              <w:spacing w:line="264" w:lineRule="auto"/>
              <w:rPr>
                <w:rFonts w:hint="eastAsia"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>2.</w:t>
            </w:r>
            <w:r>
              <w:rPr>
                <w:rFonts w:hint="eastAsia" w:ascii="宋体" w:hAnsi="宋体" w:cs="宋体"/>
                <w:color w:val="auto"/>
                <w:lang w:val="en-US" w:eastAsia="zh-CN"/>
              </w:rPr>
              <w:t>技术负责人</w:t>
            </w:r>
            <w:r>
              <w:rPr>
                <w:rFonts w:hint="eastAsia" w:ascii="宋体" w:hAnsi="宋体" w:cs="宋体"/>
                <w:color w:val="auto"/>
              </w:rPr>
              <w:t>（本项最高4分）：</w:t>
            </w:r>
          </w:p>
          <w:p>
            <w:pPr>
              <w:widowControl/>
              <w:snapToGrid w:val="0"/>
              <w:spacing w:line="264" w:lineRule="auto"/>
              <w:rPr>
                <w:rFonts w:hint="eastAsia"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auto"/>
                <w:lang w:eastAsia="zh-CN"/>
              </w:rPr>
              <w:t>）</w:t>
            </w:r>
            <w:r>
              <w:rPr>
                <w:rFonts w:hint="eastAsia" w:ascii="宋体" w:hAnsi="宋体" w:cs="宋体"/>
                <w:color w:val="auto"/>
              </w:rPr>
              <w:t>具有建筑工程</w:t>
            </w:r>
            <w:r>
              <w:rPr>
                <w:rFonts w:hint="eastAsia" w:ascii="宋体" w:hAnsi="宋体" w:cs="宋体"/>
                <w:color w:val="auto"/>
                <w:lang w:val="en-US" w:eastAsia="zh-CN"/>
              </w:rPr>
              <w:t>或机电工程</w:t>
            </w:r>
            <w:r>
              <w:rPr>
                <w:rFonts w:hint="eastAsia" w:ascii="宋体" w:hAnsi="宋体" w:cs="宋体"/>
                <w:color w:val="auto"/>
              </w:rPr>
              <w:t>相关专业职称，中级（或以上）工程师</w:t>
            </w:r>
            <w:r>
              <w:rPr>
                <w:rFonts w:hint="eastAsia" w:ascii="宋体" w:hAnsi="宋体" w:cs="宋体"/>
                <w:color w:val="auto"/>
                <w:lang w:val="en-US" w:eastAsia="zh-CN"/>
              </w:rPr>
              <w:t>的，</w:t>
            </w:r>
            <w:r>
              <w:rPr>
                <w:rFonts w:hint="eastAsia" w:ascii="宋体" w:hAnsi="宋体" w:cs="宋体"/>
                <w:color w:val="auto"/>
              </w:rPr>
              <w:t>得</w:t>
            </w:r>
            <w:r>
              <w:rPr>
                <w:rFonts w:hint="eastAsia" w:ascii="宋体" w:hAnsi="宋体" w:cs="宋体"/>
                <w:color w:val="auto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color w:val="auto"/>
              </w:rPr>
              <w:t>分；其他不得分；</w:t>
            </w:r>
          </w:p>
          <w:p>
            <w:pPr>
              <w:widowControl/>
              <w:snapToGrid w:val="0"/>
              <w:spacing w:line="264" w:lineRule="auto"/>
              <w:rPr>
                <w:rFonts w:hint="eastAsia"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color w:val="auto"/>
                <w:lang w:eastAsia="zh-CN"/>
              </w:rPr>
              <w:t>）</w:t>
            </w:r>
            <w:r>
              <w:rPr>
                <w:rFonts w:hint="eastAsia" w:ascii="宋体" w:hAnsi="宋体" w:cs="宋体"/>
                <w:color w:val="auto"/>
              </w:rPr>
              <w:t>自</w:t>
            </w:r>
            <w:r>
              <w:rPr>
                <w:rFonts w:hint="eastAsia" w:ascii="宋体" w:hAnsi="宋体" w:cs="宋体"/>
                <w:color w:val="auto"/>
                <w:lang w:eastAsia="zh-CN"/>
              </w:rPr>
              <w:t>2023年</w:t>
            </w:r>
            <w:r>
              <w:rPr>
                <w:rFonts w:hint="eastAsia" w:ascii="宋体" w:hAnsi="宋体" w:cs="宋体"/>
                <w:color w:val="auto"/>
              </w:rPr>
              <w:t>1月1日至投标截止时间止，担任项目</w:t>
            </w:r>
            <w:r>
              <w:rPr>
                <w:rFonts w:hint="eastAsia" w:ascii="宋体" w:hAnsi="宋体" w:cs="宋体"/>
                <w:color w:val="auto"/>
                <w:lang w:val="en-US" w:eastAsia="zh-CN"/>
              </w:rPr>
              <w:t>技术负责人</w:t>
            </w:r>
            <w:r>
              <w:rPr>
                <w:rFonts w:hint="eastAsia" w:ascii="宋体" w:hAnsi="宋体" w:cs="宋体"/>
                <w:color w:val="auto"/>
              </w:rPr>
              <w:t>完成过质量合格的装修或修缮类工程的，每项得1分，本项最高得2分。</w:t>
            </w:r>
            <w:r>
              <w:rPr>
                <w:rFonts w:hint="eastAsia" w:ascii="宋体" w:hAnsi="宋体" w:cs="宋体"/>
                <w:b/>
                <w:bCs/>
                <w:color w:val="auto"/>
                <w:lang w:eastAsia="zh-CN"/>
              </w:rPr>
              <w:t>（</w:t>
            </w:r>
            <w:r>
              <w:rPr>
                <w:rFonts w:hint="eastAsia" w:ascii="宋体" w:hAnsi="宋体" w:cs="宋体"/>
                <w:b/>
                <w:bCs/>
                <w:color w:val="auto"/>
                <w:lang w:val="en-US" w:eastAsia="zh-CN"/>
              </w:rPr>
              <w:t>提供体现技术负责人名称的合同或验收报告作为证明材料，不提供不得分。</w:t>
            </w:r>
            <w:r>
              <w:rPr>
                <w:rFonts w:hint="eastAsia" w:ascii="宋体" w:hAnsi="宋体" w:cs="宋体"/>
                <w:b/>
                <w:bCs/>
                <w:color w:val="auto"/>
                <w:lang w:eastAsia="zh-CN"/>
              </w:rPr>
              <w:t>）</w:t>
            </w:r>
          </w:p>
          <w:p>
            <w:pPr>
              <w:widowControl/>
              <w:snapToGrid w:val="0"/>
              <w:spacing w:line="264" w:lineRule="auto"/>
              <w:rPr>
                <w:rFonts w:hint="eastAsia"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>注：</w:t>
            </w:r>
            <w:r>
              <w:rPr>
                <w:rFonts w:hint="eastAsia" w:ascii="宋体" w:hAnsi="宋体" w:cs="宋体"/>
                <w:color w:val="auto"/>
                <w:lang w:val="en-US" w:eastAsia="zh-CN"/>
              </w:rPr>
              <w:t>技术负责人</w:t>
            </w:r>
            <w:r>
              <w:rPr>
                <w:rFonts w:hint="eastAsia" w:ascii="宋体" w:hAnsi="宋体" w:cs="宋体"/>
                <w:color w:val="auto"/>
              </w:rPr>
              <w:t>不可由项目负责人兼任。</w:t>
            </w:r>
          </w:p>
          <w:p>
            <w:pPr>
              <w:widowControl/>
              <w:snapToGrid w:val="0"/>
              <w:spacing w:line="264" w:lineRule="auto"/>
              <w:rPr>
                <w:rFonts w:hint="eastAsia"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>3.其他专业人员</w:t>
            </w:r>
            <w:r>
              <w:rPr>
                <w:rFonts w:hint="eastAsia" w:ascii="宋体" w:hAnsi="宋体" w:cs="宋体"/>
                <w:color w:val="auto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</w:rPr>
              <w:t>除项目负责人、</w:t>
            </w:r>
            <w:r>
              <w:rPr>
                <w:rFonts w:hint="eastAsia" w:ascii="宋体" w:hAnsi="宋体" w:cs="宋体"/>
                <w:color w:val="auto"/>
                <w:lang w:val="en-US" w:eastAsia="zh-CN"/>
              </w:rPr>
              <w:t>技术负责人</w:t>
            </w:r>
            <w:r>
              <w:rPr>
                <w:rFonts w:hint="eastAsia" w:ascii="宋体" w:hAnsi="宋体" w:cs="宋体"/>
                <w:color w:val="auto"/>
              </w:rPr>
              <w:t>外</w:t>
            </w:r>
            <w:r>
              <w:rPr>
                <w:rFonts w:hint="eastAsia" w:ascii="宋体" w:hAnsi="宋体" w:cs="宋体"/>
                <w:color w:val="auto"/>
                <w:lang w:eastAsia="zh-CN"/>
              </w:rPr>
              <w:t>）</w:t>
            </w:r>
            <w:r>
              <w:rPr>
                <w:rFonts w:hint="eastAsia" w:ascii="宋体" w:hAnsi="宋体" w:cs="宋体"/>
                <w:color w:val="auto"/>
              </w:rPr>
              <w:t>（本项最高</w:t>
            </w:r>
            <w:r>
              <w:rPr>
                <w:rFonts w:hint="eastAsia" w:ascii="宋体" w:hAnsi="宋体" w:cs="宋体"/>
                <w:color w:val="auto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color w:val="auto"/>
              </w:rPr>
              <w:t>分）：</w:t>
            </w:r>
          </w:p>
          <w:p>
            <w:pPr>
              <w:widowControl/>
              <w:snapToGrid w:val="0"/>
              <w:spacing w:line="264" w:lineRule="auto"/>
              <w:rPr>
                <w:rFonts w:hint="eastAsia"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>①具有质量员培训合格证书，得</w:t>
            </w:r>
            <w:r>
              <w:rPr>
                <w:rFonts w:hint="eastAsia" w:ascii="宋体" w:hAnsi="宋体" w:cs="宋体"/>
                <w:color w:val="auto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auto"/>
              </w:rPr>
              <w:t>分；</w:t>
            </w:r>
          </w:p>
          <w:p>
            <w:pPr>
              <w:widowControl/>
              <w:snapToGrid w:val="0"/>
              <w:spacing w:line="264" w:lineRule="auto"/>
              <w:rPr>
                <w:rFonts w:hint="eastAsia"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>②具有资料员培训合格证书，得</w:t>
            </w:r>
            <w:r>
              <w:rPr>
                <w:rFonts w:hint="eastAsia" w:ascii="宋体" w:hAnsi="宋体" w:cs="宋体"/>
                <w:color w:val="auto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auto"/>
              </w:rPr>
              <w:t>分；</w:t>
            </w:r>
          </w:p>
          <w:p>
            <w:pPr>
              <w:widowControl/>
              <w:snapToGrid w:val="0"/>
              <w:spacing w:line="264" w:lineRule="auto"/>
              <w:rPr>
                <w:rFonts w:hint="eastAsia"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>③具有材料员培训合格证书，得</w:t>
            </w:r>
            <w:r>
              <w:rPr>
                <w:rFonts w:hint="eastAsia" w:ascii="宋体" w:hAnsi="宋体" w:cs="宋体"/>
                <w:color w:val="auto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auto"/>
              </w:rPr>
              <w:t>分；</w:t>
            </w:r>
          </w:p>
          <w:p>
            <w:pPr>
              <w:widowControl/>
              <w:snapToGrid w:val="0"/>
              <w:spacing w:line="264" w:lineRule="auto"/>
              <w:rPr>
                <w:rFonts w:hint="eastAsia" w:ascii="宋体" w:hAnsi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④</w:t>
            </w:r>
            <w:r>
              <w:rPr>
                <w:rFonts w:hint="eastAsia" w:ascii="宋体" w:hAnsi="宋体" w:cs="宋体"/>
                <w:color w:val="auto"/>
              </w:rPr>
              <w:t>具有</w:t>
            </w:r>
            <w:r>
              <w:rPr>
                <w:rFonts w:hint="eastAsia" w:ascii="宋体" w:hAnsi="宋体" w:cs="宋体"/>
                <w:color w:val="auto"/>
                <w:lang w:val="en-US" w:eastAsia="zh-CN"/>
              </w:rPr>
              <w:t>施工</w:t>
            </w:r>
            <w:r>
              <w:rPr>
                <w:rFonts w:hint="eastAsia" w:ascii="宋体" w:hAnsi="宋体" w:cs="宋体"/>
                <w:color w:val="auto"/>
              </w:rPr>
              <w:t>员培训合格证书，得</w:t>
            </w:r>
            <w:r>
              <w:rPr>
                <w:rFonts w:hint="eastAsia" w:ascii="宋体" w:hAnsi="宋体" w:cs="宋体"/>
                <w:color w:val="auto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auto"/>
              </w:rPr>
              <w:t>分；</w:t>
            </w:r>
          </w:p>
          <w:p>
            <w:pPr>
              <w:widowControl/>
              <w:snapToGrid w:val="0"/>
              <w:spacing w:line="264" w:lineRule="auto"/>
              <w:rPr>
                <w:rFonts w:hint="default" w:ascii="宋体" w:hAnsi="宋体" w:eastAsia="宋体" w:cs="宋体"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⑤</w:t>
            </w:r>
            <w:r>
              <w:rPr>
                <w:rFonts w:hint="eastAsia" w:ascii="宋体" w:hAnsi="宋体" w:eastAsia="宋体" w:cs="宋体"/>
                <w:color w:val="auto"/>
                <w:lang w:val="en-US" w:eastAsia="zh-CN"/>
              </w:rPr>
              <w:t>具有安全员培训合格证书，得1分；</w:t>
            </w:r>
            <w:bookmarkStart w:id="0" w:name="_GoBack"/>
            <w:bookmarkEnd w:id="0"/>
          </w:p>
          <w:p>
            <w:pPr>
              <w:widowControl/>
              <w:snapToGrid w:val="0"/>
              <w:spacing w:line="264" w:lineRule="auto"/>
              <w:rPr>
                <w:rFonts w:hint="eastAsia"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>同一人具备多个证书不重复计分，同一类证书只计取一次分值。</w:t>
            </w:r>
          </w:p>
          <w:p>
            <w:pPr>
              <w:widowControl/>
              <w:snapToGrid w:val="0"/>
              <w:spacing w:line="264" w:lineRule="auto"/>
              <w:rPr>
                <w:rFonts w:hint="eastAsia"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>备注：</w:t>
            </w:r>
          </w:p>
          <w:p>
            <w:pPr>
              <w:widowControl/>
              <w:snapToGrid w:val="0"/>
              <w:spacing w:line="264" w:lineRule="auto"/>
              <w:rPr>
                <w:rFonts w:hint="eastAsia"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 xml:space="preserve">1.证书按以下要求提供： </w:t>
            </w:r>
          </w:p>
          <w:p>
            <w:pPr>
              <w:widowControl/>
              <w:snapToGrid w:val="0"/>
              <w:spacing w:line="264" w:lineRule="auto"/>
              <w:rPr>
                <w:rFonts w:hint="default" w:ascii="宋体" w:hAnsi="宋体" w:eastAsia="宋体" w:cs="宋体"/>
                <w:color w:val="auto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</w:rPr>
              <w:t>（1）</w:t>
            </w:r>
            <w:r>
              <w:rPr>
                <w:rFonts w:hint="eastAsia" w:ascii="宋体" w:hAnsi="宋体" w:cs="宋体"/>
                <w:color w:val="auto"/>
                <w:lang w:val="en-US" w:eastAsia="zh-CN"/>
              </w:rPr>
              <w:t>第</w:t>
            </w:r>
            <w:r>
              <w:rPr>
                <w:rFonts w:hint="eastAsia" w:ascii="宋体" w:hAnsi="宋体" w:cs="宋体"/>
                <w:color w:val="auto"/>
              </w:rPr>
              <w:t>1-2项须同时提供： ①提供证书复印件（或扫描件或电子证书）。 ②提供官网证书查验截图（访问www.12333.gov.cn网页，进入“在线服务”的“人才人事”板块使用职称查询平台。如实行全国统一考试的初级、中级专业职称，职称信息可通过“中国人事考试网-全国专业技术人员职业资格证书查询验证”网站（http://www.cpta.com.cn/certQuery.html）查询）。</w:t>
            </w:r>
            <w:r>
              <w:rPr>
                <w:rFonts w:hint="eastAsia" w:ascii="宋体" w:hAnsi="宋体" w:cs="宋体"/>
                <w:color w:val="auto"/>
                <w:lang w:val="en-US" w:eastAsia="zh-CN"/>
              </w:rPr>
              <w:t>不提供或资料不全不得分。</w:t>
            </w:r>
          </w:p>
          <w:p>
            <w:pPr>
              <w:widowControl/>
              <w:snapToGrid w:val="0"/>
              <w:spacing w:line="264" w:lineRule="auto"/>
              <w:rPr>
                <w:rFonts w:hint="eastAsia" w:ascii="宋体" w:hAnsi="宋体" w:eastAsia="宋体" w:cs="宋体"/>
                <w:color w:val="auto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color w:val="auto"/>
                <w:lang w:eastAsia="zh-CN"/>
              </w:rPr>
              <w:t>）</w:t>
            </w:r>
            <w:r>
              <w:rPr>
                <w:rFonts w:hint="eastAsia" w:ascii="宋体" w:hAnsi="宋体" w:cs="宋体"/>
                <w:color w:val="auto"/>
                <w:lang w:val="en-US" w:eastAsia="zh-CN"/>
              </w:rPr>
              <w:t>第3</w:t>
            </w:r>
            <w:r>
              <w:rPr>
                <w:rFonts w:hint="eastAsia" w:ascii="宋体" w:hAnsi="宋体" w:cs="宋体"/>
                <w:color w:val="auto"/>
              </w:rPr>
              <w:t>项须提供</w:t>
            </w:r>
            <w:r>
              <w:rPr>
                <w:rFonts w:hint="eastAsia" w:ascii="宋体" w:hAnsi="宋体" w:cs="宋体"/>
                <w:color w:val="auto"/>
                <w:lang w:eastAsia="zh-CN"/>
              </w:rPr>
              <w:t>：</w:t>
            </w:r>
            <w:r>
              <w:rPr>
                <w:rFonts w:hint="eastAsia" w:ascii="宋体" w:hAnsi="宋体" w:cs="宋体"/>
                <w:color w:val="auto"/>
              </w:rPr>
              <w:t>提供培训合格证书复印件</w:t>
            </w:r>
            <w:r>
              <w:rPr>
                <w:rFonts w:hint="eastAsia" w:ascii="宋体" w:hAnsi="宋体" w:cs="宋体"/>
                <w:color w:val="auto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auto"/>
                <w:lang w:val="en-US" w:eastAsia="zh-CN"/>
              </w:rPr>
              <w:t>不提供或资料不全不得分。</w:t>
            </w:r>
          </w:p>
          <w:p>
            <w:pPr>
              <w:widowControl/>
              <w:snapToGrid w:val="0"/>
              <w:spacing w:line="264" w:lineRule="auto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>2.投入人员须为本企业员工，提供由社保主管部门出具的响应截止时间前6个月以来任意一个月供应商（含分支机构）为相关人员缴纳的社保证明复印件（代缴个税税单，或参加社会保险（须至少体现养老保险）的《投保单》等证明均可），不提供者对应项不得分。</w:t>
            </w:r>
          </w:p>
        </w:tc>
        <w:tc>
          <w:tcPr>
            <w:tcW w:w="412" w:type="pct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264" w:lineRule="auto"/>
              <w:ind w:left="-78" w:leftChars="-37" w:right="-73" w:rightChars="-35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17</w:t>
            </w:r>
            <w:r>
              <w:rPr>
                <w:rFonts w:hint="eastAsia" w:ascii="宋体" w:hAnsi="宋体" w:cs="宋体"/>
              </w:rPr>
              <w:t>分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401" w:hRule="atLeast"/>
        </w:trPr>
        <w:tc>
          <w:tcPr>
            <w:tcW w:w="433" w:type="pct"/>
            <w:tcBorders>
              <w:top w:val="single" w:color="auto" w:sz="4" w:space="0"/>
              <w:left w:val="single" w:color="auto" w:sz="12" w:space="0"/>
            </w:tcBorders>
            <w:noWrap w:val="0"/>
            <w:vAlign w:val="center"/>
          </w:tcPr>
          <w:p>
            <w:pPr>
              <w:widowControl/>
              <w:snapToGrid w:val="0"/>
              <w:spacing w:line="264" w:lineRule="auto"/>
              <w:jc w:val="center"/>
              <w:rPr>
                <w:rFonts w:hint="eastAsia" w:ascii="黑体" w:hAnsi="宋体" w:eastAsia="黑体" w:cs="宋体"/>
                <w:sz w:val="24"/>
                <w:lang w:eastAsia="zh-CN"/>
              </w:rPr>
            </w:pPr>
            <w:r>
              <w:rPr>
                <w:rFonts w:hint="eastAsia" w:ascii="黑体" w:hAnsi="宋体" w:eastAsia="黑体" w:cs="宋体"/>
                <w:sz w:val="24"/>
                <w:lang w:eastAsia="zh-CN"/>
              </w:rPr>
              <w:t>三</w:t>
            </w:r>
          </w:p>
        </w:tc>
        <w:tc>
          <w:tcPr>
            <w:tcW w:w="4566" w:type="pct"/>
            <w:gridSpan w:val="3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snapToGrid w:val="0"/>
              <w:spacing w:line="264" w:lineRule="auto"/>
              <w:ind w:left="-78" w:leftChars="-37" w:right="-73" w:rightChars="-35"/>
              <w:jc w:val="center"/>
              <w:rPr>
                <w:rFonts w:ascii="黑体" w:hAnsi="宋体" w:eastAsia="黑体" w:cs="宋体"/>
                <w:sz w:val="24"/>
              </w:rPr>
            </w:pPr>
            <w:r>
              <w:rPr>
                <w:rFonts w:hint="eastAsia" w:ascii="黑体" w:hAnsi="宋体" w:eastAsia="黑体" w:cs="宋体"/>
                <w:sz w:val="24"/>
              </w:rPr>
              <w:t>价格部分</w:t>
            </w:r>
            <w:r>
              <w:rPr>
                <w:rFonts w:hint="eastAsia" w:ascii="黑体" w:hAnsi="宋体" w:eastAsia="黑体" w:cs="宋体"/>
                <w:sz w:val="24"/>
                <w:lang w:eastAsia="zh-CN"/>
              </w:rPr>
              <w:t>（合计</w:t>
            </w:r>
            <w:r>
              <w:rPr>
                <w:rFonts w:hint="eastAsia" w:ascii="黑体" w:hAnsi="宋体" w:eastAsia="黑体" w:cs="宋体"/>
                <w:sz w:val="24"/>
                <w:lang w:val="en-US" w:eastAsia="zh-CN"/>
              </w:rPr>
              <w:t>15分）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520" w:hRule="atLeast"/>
        </w:trPr>
        <w:tc>
          <w:tcPr>
            <w:tcW w:w="433" w:type="pct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264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黑体" w:cs="Times New Roman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578" w:type="pct"/>
            <w:noWrap w:val="0"/>
            <w:vAlign w:val="center"/>
          </w:tcPr>
          <w:p>
            <w:pPr>
              <w:snapToGrid w:val="0"/>
              <w:spacing w:line="264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价</w:t>
            </w:r>
            <w:r>
              <w:rPr>
                <w:rFonts w:hint="eastAsia" w:ascii="宋体" w:hAnsi="宋体"/>
                <w:lang w:eastAsia="zh-CN"/>
              </w:rPr>
              <w:t>格</w:t>
            </w:r>
          </w:p>
        </w:tc>
        <w:tc>
          <w:tcPr>
            <w:tcW w:w="3575" w:type="pct"/>
            <w:noWrap w:val="0"/>
            <w:vAlign w:val="center"/>
          </w:tcPr>
          <w:p>
            <w:pPr>
              <w:snapToGrid w:val="0"/>
              <w:spacing w:line="264" w:lineRule="auto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评审</w:t>
            </w:r>
            <w:r>
              <w:rPr>
                <w:rFonts w:hint="eastAsia" w:ascii="宋体" w:hAnsi="宋体" w:cs="宋体"/>
                <w:lang w:eastAsia="zh-CN"/>
              </w:rPr>
              <w:t>小组对入围的供应商的最后价格进行修正得出评审价。综合评分法中的价格分统一采用低价优先法计算，即满足</w:t>
            </w:r>
            <w:r>
              <w:rPr>
                <w:rFonts w:hint="eastAsia" w:ascii="宋体" w:hAnsi="宋体" w:cs="宋体"/>
                <w:lang w:val="en-US" w:eastAsia="zh-CN"/>
              </w:rPr>
              <w:t>采购</w:t>
            </w:r>
            <w:r>
              <w:rPr>
                <w:rFonts w:hint="eastAsia" w:ascii="宋体" w:hAnsi="宋体" w:cs="宋体"/>
                <w:lang w:eastAsia="zh-CN"/>
              </w:rPr>
              <w:t>文件要求（通过资格、符合性评审）且价格最低的有效最后报价（指修正后的价格，下同）为</w:t>
            </w:r>
            <w:r>
              <w:rPr>
                <w:rFonts w:hint="eastAsia" w:ascii="宋体" w:hAnsi="宋体" w:cs="宋体"/>
                <w:lang w:val="en-US" w:eastAsia="zh-CN"/>
              </w:rPr>
              <w:t>评审</w:t>
            </w:r>
            <w:r>
              <w:rPr>
                <w:rFonts w:hint="eastAsia" w:ascii="宋体" w:hAnsi="宋体" w:cs="宋体"/>
                <w:lang w:eastAsia="zh-CN"/>
              </w:rPr>
              <w:t>基准价，其价格分为满分。其他供应商的价格分统一按照下列公式计算</w:t>
            </w:r>
            <w:r>
              <w:rPr>
                <w:rFonts w:hint="eastAsia" w:ascii="宋体" w:hAnsi="宋体" w:cs="宋体"/>
              </w:rPr>
              <w:t>：</w:t>
            </w:r>
          </w:p>
          <w:p>
            <w:pPr>
              <w:widowControl/>
              <w:snapToGrid w:val="0"/>
              <w:spacing w:line="264" w:lineRule="auto"/>
              <w:ind w:firstLine="316" w:firstLineChars="150"/>
              <w:rPr>
                <w:rFonts w:ascii="宋体" w:hAnsi="宋体"/>
                <w:bCs/>
                <w:color w:val="FF0000"/>
              </w:rPr>
            </w:pPr>
            <w:r>
              <w:rPr>
                <w:rFonts w:hint="eastAsia" w:ascii="宋体" w:hAnsi="宋体" w:cs="宋体"/>
                <w:b/>
                <w:lang w:val="en-US" w:eastAsia="zh-CN"/>
              </w:rPr>
              <w:t>响应</w:t>
            </w:r>
            <w:r>
              <w:rPr>
                <w:rFonts w:hint="eastAsia" w:ascii="宋体" w:hAnsi="宋体" w:cs="宋体"/>
                <w:b/>
              </w:rPr>
              <w:t>报价得分=(</w:t>
            </w:r>
            <w:r>
              <w:rPr>
                <w:rFonts w:hint="eastAsia" w:ascii="宋体" w:hAnsi="宋体" w:cs="宋体"/>
                <w:lang w:val="en-US" w:eastAsia="zh-CN"/>
              </w:rPr>
              <w:t>评审</w:t>
            </w:r>
            <w:r>
              <w:rPr>
                <w:rFonts w:hint="eastAsia" w:ascii="宋体" w:hAnsi="宋体" w:cs="宋体"/>
                <w:b/>
              </w:rPr>
              <w:t>基准价／</w:t>
            </w:r>
            <w:r>
              <w:rPr>
                <w:rFonts w:hint="eastAsia" w:ascii="宋体" w:hAnsi="宋体" w:cs="宋体"/>
                <w:b/>
                <w:lang w:eastAsia="zh-CN"/>
              </w:rPr>
              <w:t>最后</w:t>
            </w:r>
            <w:r>
              <w:rPr>
                <w:rFonts w:hint="eastAsia" w:ascii="宋体" w:hAnsi="宋体" w:cs="宋体"/>
                <w:b/>
                <w:lang w:val="en-US" w:eastAsia="zh-CN"/>
              </w:rPr>
              <w:t>响应</w:t>
            </w:r>
            <w:r>
              <w:rPr>
                <w:rFonts w:hint="eastAsia" w:ascii="宋体" w:hAnsi="宋体" w:cs="宋体"/>
                <w:b/>
              </w:rPr>
              <w:t>报价)×价格权重×100</w:t>
            </w:r>
            <w:r>
              <w:rPr>
                <w:rFonts w:hint="eastAsia" w:ascii="宋体" w:hAnsi="宋体" w:cs="宋体"/>
                <w:b/>
                <w:lang w:eastAsia="zh-CN"/>
              </w:rPr>
              <w:t>（精确到</w:t>
            </w:r>
            <w:r>
              <w:rPr>
                <w:rFonts w:hint="eastAsia" w:ascii="宋体" w:hAnsi="宋体" w:cs="宋体"/>
                <w:b/>
                <w:lang w:val="en-US" w:eastAsia="zh-CN"/>
              </w:rPr>
              <w:t>0.01）</w:t>
            </w:r>
            <w:r>
              <w:rPr>
                <w:rFonts w:hint="eastAsia" w:ascii="宋体" w:hAnsi="宋体" w:cs="宋体"/>
                <w:b/>
              </w:rPr>
              <w:t>。</w:t>
            </w:r>
          </w:p>
        </w:tc>
        <w:tc>
          <w:tcPr>
            <w:tcW w:w="412" w:type="pct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264" w:lineRule="auto"/>
              <w:ind w:left="-78" w:leftChars="-37" w:right="-73" w:rightChars="-35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 xml:space="preserve"> </w:t>
            </w:r>
          </w:p>
          <w:p>
            <w:pPr>
              <w:snapToGrid w:val="0"/>
              <w:spacing w:line="264" w:lineRule="auto"/>
              <w:ind w:left="-78" w:leftChars="-37" w:right="-73" w:rightChars="-35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15</w:t>
            </w:r>
            <w:r>
              <w:rPr>
                <w:rFonts w:hint="eastAsia" w:ascii="宋体" w:hAnsi="宋体" w:cs="宋体"/>
              </w:rPr>
              <w:t>分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453" w:hRule="atLeast"/>
        </w:trPr>
        <w:tc>
          <w:tcPr>
            <w:tcW w:w="4587" w:type="pct"/>
            <w:gridSpan w:val="3"/>
            <w:tcBorders>
              <w:left w:val="single" w:color="auto" w:sz="12" w:space="0"/>
              <w:bottom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264" w:lineRule="auto"/>
              <w:ind w:left="-78" w:leftChars="-37" w:right="-73" w:rightChars="-35"/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/>
                <w:b/>
              </w:rPr>
              <w:t>合计</w:t>
            </w:r>
          </w:p>
        </w:tc>
        <w:tc>
          <w:tcPr>
            <w:tcW w:w="412" w:type="pct"/>
            <w:tcBorders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264" w:lineRule="auto"/>
              <w:ind w:left="-78" w:leftChars="-37" w:right="-73" w:rightChars="-35"/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100分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E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A86779"/>
    <w:rsid w:val="02971A1F"/>
    <w:rsid w:val="04E56A2C"/>
    <w:rsid w:val="0F104242"/>
    <w:rsid w:val="105273AC"/>
    <w:rsid w:val="11A6098E"/>
    <w:rsid w:val="127F31E6"/>
    <w:rsid w:val="12A76BB6"/>
    <w:rsid w:val="13A86779"/>
    <w:rsid w:val="14534A60"/>
    <w:rsid w:val="168B3F27"/>
    <w:rsid w:val="1A171566"/>
    <w:rsid w:val="1F1A4EF4"/>
    <w:rsid w:val="22112D41"/>
    <w:rsid w:val="25C30B01"/>
    <w:rsid w:val="25D65EDB"/>
    <w:rsid w:val="26222A03"/>
    <w:rsid w:val="315D3463"/>
    <w:rsid w:val="31774136"/>
    <w:rsid w:val="353C6D9F"/>
    <w:rsid w:val="3AD91B6C"/>
    <w:rsid w:val="3E2442CB"/>
    <w:rsid w:val="401D37D7"/>
    <w:rsid w:val="44B714FA"/>
    <w:rsid w:val="475A245D"/>
    <w:rsid w:val="49D52979"/>
    <w:rsid w:val="4B577D0E"/>
    <w:rsid w:val="4D356577"/>
    <w:rsid w:val="4E911429"/>
    <w:rsid w:val="51652EBF"/>
    <w:rsid w:val="55726045"/>
    <w:rsid w:val="5A1E43C2"/>
    <w:rsid w:val="5A245037"/>
    <w:rsid w:val="5BB77C2B"/>
    <w:rsid w:val="5C4B079D"/>
    <w:rsid w:val="5C741B35"/>
    <w:rsid w:val="60AA775F"/>
    <w:rsid w:val="617311B6"/>
    <w:rsid w:val="61BE13AE"/>
    <w:rsid w:val="62D17124"/>
    <w:rsid w:val="656532B8"/>
    <w:rsid w:val="68145E82"/>
    <w:rsid w:val="689B1862"/>
    <w:rsid w:val="6922361C"/>
    <w:rsid w:val="6A9441FD"/>
    <w:rsid w:val="6B486512"/>
    <w:rsid w:val="6E4D2ECF"/>
    <w:rsid w:val="6EE937B5"/>
    <w:rsid w:val="6FA171E2"/>
    <w:rsid w:val="72454816"/>
    <w:rsid w:val="753F177D"/>
    <w:rsid w:val="77941691"/>
    <w:rsid w:val="78091CE1"/>
    <w:rsid w:val="789007C9"/>
    <w:rsid w:val="7A545AD5"/>
    <w:rsid w:val="7A9456C6"/>
    <w:rsid w:val="7C36314C"/>
    <w:rsid w:val="7DAB1CEA"/>
    <w:rsid w:val="7EFE6AA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spacing w:line="360" w:lineRule="auto"/>
      <w:jc w:val="center"/>
      <w:outlineLvl w:val="0"/>
    </w:pPr>
    <w:rPr>
      <w:rFonts w:ascii="Arial" w:hAnsi="Arial"/>
      <w:b/>
      <w:bCs/>
      <w:sz w:val="24"/>
      <w:szCs w:val="18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customStyle="1" w:styleId="6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黑体" w:cs="Times New Roman"/>
      <w:bCs/>
      <w:sz w:val="30"/>
      <w:szCs w:val="30"/>
    </w:rPr>
  </w:style>
  <w:style w:type="paragraph" w:customStyle="1" w:styleId="7">
    <w:name w:val="Table Paragraph"/>
    <w:basedOn w:val="1"/>
    <w:qFormat/>
    <w:uiPriority w:val="1"/>
    <w:pPr>
      <w:autoSpaceDE w:val="0"/>
      <w:autoSpaceDN w:val="0"/>
      <w:adjustRightInd w:val="0"/>
      <w:jc w:val="left"/>
    </w:pPr>
    <w:rPr>
      <w:rFonts w:ascii="仿宋_GB2312" w:hAnsi="仿宋_GB2312" w:eastAsia="仿宋_GB2312" w:cs="仿宋_GB2312"/>
      <w:kern w:val="0"/>
      <w:sz w:val="20"/>
      <w:szCs w:val="20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区卫生和计划生育局</Company>
  <Pages>4</Pages>
  <Words>3107</Words>
  <Characters>3227</Characters>
  <Lines>0</Lines>
  <Paragraphs>0</Paragraphs>
  <TotalTime>29</TotalTime>
  <ScaleCrop>false</ScaleCrop>
  <LinksUpToDate>false</LinksUpToDate>
  <CharactersWithSpaces>3234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2021-02-26T01:42:00Z</dcterms:created>
  <dc:creator>Administrator</dc:creator>
  <cp:lastModifiedBy>办公室</cp:lastModifiedBy>
  <cp:lastPrinted>2026-08-07T02:02:45Z</cp:lastPrinted>
  <dcterms:modified xsi:type="dcterms:W3CDTF">2026-08-07T02:20:46Z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  <property fmtid="{D5CDD505-2E9C-101B-9397-08002B2CF9AE}" pid="3" name="KSOTemplateDocerSaveRecord">
    <vt:lpwstr>eyJoZGlkIjoiOTc2OWE0Y2VkN2ZhMjBjMGU5ODljMTIzNmMwYzA4OWYiLCJ1c2VySWQiOiI2NDc4NTcyODAifQ==</vt:lpwstr>
  </property>
  <property fmtid="{D5CDD505-2E9C-101B-9397-08002B2CF9AE}" pid="4" name="ICV">
    <vt:lpwstr>25C1AE8568D34218B226DE3F2CB0AAA5_13</vt:lpwstr>
  </property>
</Properties>
</file>