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beforeLines="50" w:afterLines="50" w:line="360" w:lineRule="auto"/>
        <w:ind w:firstLine="3360" w:firstLineChars="1200"/>
        <w:jc w:val="both"/>
        <w:outlineLvl w:val="2"/>
        <w:rPr>
          <w:rFonts w:ascii="黑体" w:hAnsi="宋体" w:eastAsia="黑体" w:cs="宋体"/>
          <w:color w:val="FF0000"/>
          <w:sz w:val="28"/>
          <w:szCs w:val="28"/>
        </w:rPr>
      </w:pPr>
      <w:r>
        <w:rPr>
          <w:rFonts w:hint="eastAsia" w:ascii="黑体" w:hAnsi="宋体" w:eastAsia="黑体" w:cs="宋体"/>
          <w:sz w:val="28"/>
          <w:szCs w:val="28"/>
        </w:rPr>
        <w:t>综合评分表</w:t>
      </w:r>
    </w:p>
    <w:tbl>
      <w:tblPr>
        <w:tblStyle w:val="4"/>
        <w:tblW w:w="4998"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8" w:type="dxa"/>
          <w:left w:w="108" w:type="dxa"/>
          <w:bottom w:w="28" w:type="dxa"/>
          <w:right w:w="108" w:type="dxa"/>
        </w:tblCellMar>
      </w:tblPr>
      <w:tblGrid>
        <w:gridCol w:w="738"/>
        <w:gridCol w:w="985"/>
        <w:gridCol w:w="6094"/>
        <w:gridCol w:w="70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8" w:type="dxa"/>
            <w:left w:w="108" w:type="dxa"/>
            <w:bottom w:w="28" w:type="dxa"/>
            <w:right w:w="108" w:type="dxa"/>
          </w:tblCellMar>
        </w:tblPrEx>
        <w:trPr>
          <w:trHeight w:val="815" w:hRule="atLeast"/>
        </w:trPr>
        <w:tc>
          <w:tcPr>
            <w:tcW w:w="433" w:type="pct"/>
            <w:tcBorders>
              <w:top w:val="single" w:color="auto" w:sz="12" w:space="0"/>
              <w:left w:val="single" w:color="auto" w:sz="12" w:space="0"/>
            </w:tcBorders>
            <w:noWrap w:val="0"/>
            <w:vAlign w:val="center"/>
          </w:tcPr>
          <w:p>
            <w:pPr>
              <w:snapToGrid w:val="0"/>
              <w:spacing w:line="264" w:lineRule="auto"/>
              <w:ind w:left="-78" w:leftChars="-37" w:right="-73" w:rightChars="-35"/>
              <w:jc w:val="center"/>
              <w:rPr>
                <w:rFonts w:ascii="宋体" w:hAnsi="宋体" w:cs="宋体"/>
                <w:b/>
                <w:color w:val="auto"/>
              </w:rPr>
            </w:pPr>
            <w:r>
              <w:rPr>
                <w:rFonts w:hint="eastAsia" w:ascii="宋体" w:hAnsi="宋体" w:cs="宋体"/>
                <w:b/>
                <w:color w:val="auto"/>
              </w:rPr>
              <w:t>序号</w:t>
            </w:r>
          </w:p>
        </w:tc>
        <w:tc>
          <w:tcPr>
            <w:tcW w:w="578" w:type="pct"/>
            <w:tcBorders>
              <w:top w:val="single" w:color="auto" w:sz="12" w:space="0"/>
            </w:tcBorders>
            <w:noWrap w:val="0"/>
            <w:vAlign w:val="center"/>
          </w:tcPr>
          <w:p>
            <w:pPr>
              <w:snapToGrid w:val="0"/>
              <w:spacing w:line="264" w:lineRule="auto"/>
              <w:ind w:left="-78" w:leftChars="-37" w:right="-73" w:rightChars="-35"/>
              <w:jc w:val="center"/>
              <w:rPr>
                <w:rFonts w:ascii="宋体" w:hAnsi="宋体" w:cs="宋体"/>
                <w:b/>
                <w:color w:val="auto"/>
              </w:rPr>
            </w:pPr>
            <w:r>
              <w:rPr>
                <w:rFonts w:hint="eastAsia" w:ascii="宋体" w:hAnsi="宋体" w:cs="宋体"/>
                <w:b/>
                <w:color w:val="auto"/>
              </w:rPr>
              <w:t>评审因素</w:t>
            </w:r>
          </w:p>
        </w:tc>
        <w:tc>
          <w:tcPr>
            <w:tcW w:w="3576" w:type="pct"/>
            <w:tcBorders>
              <w:top w:val="single" w:color="auto" w:sz="12" w:space="0"/>
            </w:tcBorders>
            <w:noWrap w:val="0"/>
            <w:vAlign w:val="center"/>
          </w:tcPr>
          <w:p>
            <w:pPr>
              <w:snapToGrid w:val="0"/>
              <w:spacing w:line="264" w:lineRule="auto"/>
              <w:ind w:left="-78" w:leftChars="-37" w:right="-73" w:rightChars="-35"/>
              <w:jc w:val="center"/>
              <w:rPr>
                <w:rFonts w:ascii="宋体" w:hAnsi="宋体" w:cs="宋体"/>
                <w:b/>
                <w:color w:val="auto"/>
              </w:rPr>
            </w:pPr>
            <w:r>
              <w:rPr>
                <w:rFonts w:hint="eastAsia" w:ascii="宋体" w:hAnsi="宋体" w:cs="宋体"/>
                <w:b/>
                <w:color w:val="auto"/>
              </w:rPr>
              <w:t>评分细则</w:t>
            </w:r>
          </w:p>
        </w:tc>
        <w:tc>
          <w:tcPr>
            <w:tcW w:w="412" w:type="pct"/>
            <w:tcBorders>
              <w:top w:val="single" w:color="auto" w:sz="12" w:space="0"/>
              <w:right w:val="single" w:color="auto" w:sz="12" w:space="0"/>
            </w:tcBorders>
            <w:noWrap w:val="0"/>
            <w:vAlign w:val="center"/>
          </w:tcPr>
          <w:p>
            <w:pPr>
              <w:snapToGrid w:val="0"/>
              <w:spacing w:line="264" w:lineRule="auto"/>
              <w:ind w:left="-78" w:leftChars="-37" w:right="-73" w:rightChars="-35"/>
              <w:jc w:val="center"/>
              <w:rPr>
                <w:rFonts w:ascii="宋体" w:hAnsi="宋体" w:cs="宋体"/>
                <w:b/>
                <w:color w:val="auto"/>
              </w:rPr>
            </w:pPr>
            <w:r>
              <w:rPr>
                <w:rFonts w:hint="eastAsia" w:ascii="宋体" w:hAnsi="宋体" w:cs="宋体"/>
                <w:b/>
                <w:color w:val="auto"/>
              </w:rPr>
              <w:t>分值（分）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8" w:type="dxa"/>
            <w:left w:w="108" w:type="dxa"/>
            <w:bottom w:w="28" w:type="dxa"/>
            <w:right w:w="108" w:type="dxa"/>
          </w:tblCellMar>
        </w:tblPrEx>
        <w:trPr>
          <w:trHeight w:val="383" w:hRule="atLeast"/>
        </w:trPr>
        <w:tc>
          <w:tcPr>
            <w:tcW w:w="433" w:type="pct"/>
            <w:tcBorders>
              <w:left w:val="single" w:color="auto" w:sz="12" w:space="0"/>
            </w:tcBorders>
            <w:noWrap w:val="0"/>
            <w:vAlign w:val="center"/>
          </w:tcPr>
          <w:p>
            <w:pPr>
              <w:widowControl/>
              <w:snapToGrid w:val="0"/>
              <w:spacing w:line="264" w:lineRule="auto"/>
              <w:jc w:val="center"/>
              <w:rPr>
                <w:rFonts w:ascii="黑体" w:hAnsi="宋体" w:eastAsia="黑体" w:cs="宋体"/>
                <w:color w:val="auto"/>
                <w:sz w:val="24"/>
              </w:rPr>
            </w:pPr>
            <w:r>
              <w:rPr>
                <w:rFonts w:hint="eastAsia" w:ascii="黑体" w:hAnsi="宋体" w:eastAsia="黑体" w:cs="宋体"/>
                <w:color w:val="auto"/>
                <w:sz w:val="24"/>
              </w:rPr>
              <w:t>一</w:t>
            </w:r>
          </w:p>
        </w:tc>
        <w:tc>
          <w:tcPr>
            <w:tcW w:w="4566" w:type="pct"/>
            <w:gridSpan w:val="3"/>
            <w:tcBorders>
              <w:right w:val="single" w:color="auto" w:sz="12" w:space="0"/>
            </w:tcBorders>
            <w:noWrap w:val="0"/>
            <w:vAlign w:val="center"/>
          </w:tcPr>
          <w:p>
            <w:pPr>
              <w:widowControl/>
              <w:snapToGrid w:val="0"/>
              <w:spacing w:line="264" w:lineRule="auto"/>
              <w:jc w:val="center"/>
              <w:rPr>
                <w:rFonts w:ascii="黑体" w:hAnsi="宋体" w:eastAsia="黑体" w:cs="宋体"/>
                <w:color w:val="auto"/>
                <w:sz w:val="24"/>
              </w:rPr>
            </w:pPr>
            <w:r>
              <w:rPr>
                <w:rFonts w:hint="eastAsia" w:ascii="黑体" w:hAnsi="宋体" w:eastAsia="黑体" w:cs="宋体"/>
                <w:color w:val="auto"/>
                <w:sz w:val="24"/>
              </w:rPr>
              <w:t>技术部分(合计</w:t>
            </w:r>
            <w:r>
              <w:rPr>
                <w:rFonts w:hint="eastAsia" w:ascii="黑体" w:hAnsi="宋体" w:eastAsia="黑体" w:cs="宋体"/>
                <w:color w:val="auto"/>
                <w:sz w:val="24"/>
                <w:lang w:val="en-US" w:eastAsia="zh-CN"/>
              </w:rPr>
              <w:t>40</w:t>
            </w:r>
            <w:r>
              <w:rPr>
                <w:rFonts w:hint="eastAsia" w:ascii="黑体" w:hAnsi="宋体" w:eastAsia="黑体" w:cs="宋体"/>
                <w:color w:val="auto"/>
                <w:sz w:val="24"/>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8" w:type="dxa"/>
            <w:left w:w="108" w:type="dxa"/>
            <w:bottom w:w="28" w:type="dxa"/>
            <w:right w:w="108" w:type="dxa"/>
          </w:tblCellMar>
        </w:tblPrEx>
        <w:trPr>
          <w:trHeight w:val="861" w:hRule="atLeast"/>
        </w:trPr>
        <w:tc>
          <w:tcPr>
            <w:tcW w:w="433" w:type="pct"/>
            <w:tcBorders>
              <w:left w:val="single" w:color="auto" w:sz="12" w:space="0"/>
            </w:tcBorders>
            <w:noWrap w:val="0"/>
            <w:vAlign w:val="center"/>
          </w:tcPr>
          <w:p>
            <w:pPr>
              <w:pStyle w:val="6"/>
              <w:numPr>
                <w:ilvl w:val="0"/>
                <w:numId w:val="0"/>
              </w:numPr>
              <w:snapToGrid w:val="0"/>
              <w:spacing w:line="264" w:lineRule="auto"/>
              <w:ind w:firstLine="210" w:firstLineChars="100"/>
              <w:jc w:val="both"/>
              <w:rPr>
                <w:rFonts w:hint="eastAsia" w:ascii="宋体" w:hAnsi="宋体"/>
                <w:color w:val="auto"/>
                <w:sz w:val="21"/>
                <w:szCs w:val="21"/>
                <w:lang w:val="en-US" w:eastAsia="zh-CN"/>
              </w:rPr>
            </w:pPr>
            <w:r>
              <w:rPr>
                <w:rFonts w:hint="eastAsia" w:ascii="宋体" w:hAnsi="宋体"/>
                <w:color w:val="auto"/>
                <w:sz w:val="21"/>
                <w:szCs w:val="21"/>
                <w:lang w:val="en-US" w:eastAsia="zh-CN"/>
              </w:rPr>
              <w:t>1</w:t>
            </w:r>
          </w:p>
        </w:tc>
        <w:tc>
          <w:tcPr>
            <w:tcW w:w="578" w:type="pct"/>
            <w:noWrap w:val="0"/>
            <w:vAlign w:val="center"/>
          </w:tcPr>
          <w:p>
            <w:pPr>
              <w:snapToGrid w:val="0"/>
              <w:spacing w:line="264" w:lineRule="auto"/>
              <w:jc w:val="center"/>
              <w:rPr>
                <w:rFonts w:hint="eastAsia" w:ascii="宋体" w:hAnsi="宋体"/>
                <w:color w:val="auto"/>
                <w:sz w:val="21"/>
                <w:szCs w:val="21"/>
              </w:rPr>
            </w:pPr>
            <w:r>
              <w:rPr>
                <w:rFonts w:hint="eastAsia" w:ascii="宋体" w:hAnsi="宋体"/>
                <w:color w:val="auto"/>
                <w:sz w:val="21"/>
                <w:szCs w:val="21"/>
              </w:rPr>
              <w:t>技术参数条款响应</w:t>
            </w:r>
          </w:p>
        </w:tc>
        <w:tc>
          <w:tcPr>
            <w:tcW w:w="3576" w:type="pct"/>
            <w:noWrap w:val="0"/>
            <w:vAlign w:val="center"/>
          </w:tcPr>
          <w:p>
            <w:pPr>
              <w:snapToGrid w:val="0"/>
              <w:spacing w:line="264" w:lineRule="auto"/>
              <w:rPr>
                <w:rFonts w:hint="eastAsia" w:ascii="宋体" w:hAnsi="宋体"/>
                <w:color w:val="auto"/>
                <w:sz w:val="21"/>
                <w:szCs w:val="21"/>
                <w:lang w:val="en-US" w:eastAsia="zh-CN"/>
              </w:rPr>
            </w:pPr>
            <w:r>
              <w:rPr>
                <w:rFonts w:hint="eastAsia" w:ascii="宋体" w:hAnsi="宋体"/>
                <w:color w:val="auto"/>
                <w:sz w:val="21"/>
                <w:szCs w:val="21"/>
                <w:lang w:val="en-US" w:eastAsia="zh-CN"/>
              </w:rPr>
              <w:t>针对《采购需求》中“具体技术要求”对技术参数条款的响应情况进行评审（共17项产品）：全部技术参数条款响应情况为“正偏离”或“符合”或“无偏离”的，得17分；每有一项产品的技术参数有1条或以上响应情况为“负偏离”的，扣1分，扣完为止。</w:t>
            </w:r>
          </w:p>
          <w:p>
            <w:pPr>
              <w:snapToGrid w:val="0"/>
              <w:spacing w:line="264" w:lineRule="auto"/>
              <w:rPr>
                <w:rFonts w:hint="eastAsia" w:ascii="宋体" w:hAnsi="宋体"/>
                <w:color w:val="auto"/>
                <w:sz w:val="21"/>
                <w:szCs w:val="21"/>
                <w:lang w:val="en-US" w:eastAsia="zh-CN"/>
              </w:rPr>
            </w:pPr>
            <w:r>
              <w:rPr>
                <w:rFonts w:hint="eastAsia" w:ascii="宋体" w:hAnsi="宋体"/>
                <w:color w:val="auto"/>
                <w:sz w:val="21"/>
                <w:szCs w:val="21"/>
                <w:lang w:val="en-US" w:eastAsia="zh-CN"/>
              </w:rPr>
              <w:t>备注：如用户需求书中有明确要求提供证明材料的，则以用户需求书要求的为准，未按要求提供证明资料的不得分；如用户需求书中无明确要求提供证明材料的，以参选人的响应情况为准，未响应的均不得分。</w:t>
            </w:r>
          </w:p>
        </w:tc>
        <w:tc>
          <w:tcPr>
            <w:tcW w:w="412" w:type="pct"/>
            <w:tcBorders>
              <w:right w:val="single" w:color="auto" w:sz="12" w:space="0"/>
            </w:tcBorders>
            <w:noWrap w:val="0"/>
            <w:vAlign w:val="center"/>
          </w:tcPr>
          <w:p>
            <w:pPr>
              <w:snapToGrid w:val="0"/>
              <w:spacing w:line="264" w:lineRule="auto"/>
              <w:ind w:left="-78" w:leftChars="-37" w:right="-73" w:rightChars="-35"/>
              <w:jc w:val="center"/>
              <w:rPr>
                <w:rFonts w:ascii="宋体" w:hAnsi="宋体" w:cs="宋体"/>
                <w:color w:val="auto"/>
                <w:sz w:val="21"/>
                <w:szCs w:val="21"/>
              </w:rPr>
            </w:pPr>
            <w:r>
              <w:rPr>
                <w:rFonts w:hint="eastAsia" w:ascii="宋体" w:hAnsi="宋体" w:cs="宋体"/>
                <w:color w:val="auto"/>
                <w:sz w:val="21"/>
                <w:szCs w:val="21"/>
                <w:lang w:val="en-US" w:eastAsia="zh-CN"/>
              </w:rPr>
              <w:t>17</w:t>
            </w:r>
            <w:r>
              <w:rPr>
                <w:rFonts w:hint="eastAsia" w:ascii="宋体" w:hAnsi="宋体" w:cs="宋体"/>
                <w:color w:val="auto"/>
                <w:sz w:val="21"/>
                <w:szCs w:val="21"/>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8" w:type="dxa"/>
            <w:left w:w="108" w:type="dxa"/>
            <w:bottom w:w="28" w:type="dxa"/>
            <w:right w:w="108" w:type="dxa"/>
          </w:tblCellMar>
        </w:tblPrEx>
        <w:trPr>
          <w:trHeight w:val="861" w:hRule="atLeast"/>
        </w:trPr>
        <w:tc>
          <w:tcPr>
            <w:tcW w:w="433" w:type="pct"/>
            <w:tcBorders>
              <w:left w:val="single" w:color="auto" w:sz="12" w:space="0"/>
            </w:tcBorders>
            <w:noWrap w:val="0"/>
            <w:vAlign w:val="center"/>
          </w:tcPr>
          <w:p>
            <w:pPr>
              <w:snapToGrid w:val="0"/>
              <w:spacing w:line="264" w:lineRule="auto"/>
              <w:jc w:val="center"/>
              <w:rPr>
                <w:rFonts w:hint="eastAsia" w:ascii="宋体" w:hAnsi="宋体"/>
                <w:color w:val="auto"/>
                <w:sz w:val="21"/>
                <w:szCs w:val="21"/>
                <w:lang w:val="en-US" w:eastAsia="zh-CN"/>
              </w:rPr>
            </w:pPr>
            <w:r>
              <w:rPr>
                <w:rFonts w:hint="eastAsia" w:ascii="宋体" w:hAnsi="宋体"/>
                <w:color w:val="auto"/>
                <w:sz w:val="21"/>
                <w:szCs w:val="21"/>
                <w:lang w:val="en-US" w:eastAsia="zh-CN"/>
              </w:rPr>
              <w:t>2</w:t>
            </w:r>
          </w:p>
        </w:tc>
        <w:tc>
          <w:tcPr>
            <w:tcW w:w="578" w:type="pct"/>
            <w:noWrap w:val="0"/>
            <w:vAlign w:val="center"/>
          </w:tcPr>
          <w:p>
            <w:pPr>
              <w:snapToGrid w:val="0"/>
              <w:spacing w:line="264" w:lineRule="auto"/>
              <w:jc w:val="center"/>
              <w:rPr>
                <w:rFonts w:hint="eastAsia" w:ascii="宋体" w:hAnsi="宋体"/>
                <w:color w:val="auto"/>
                <w:sz w:val="21"/>
                <w:szCs w:val="21"/>
                <w:lang w:val="en-US" w:eastAsia="zh-CN"/>
              </w:rPr>
            </w:pPr>
            <w:r>
              <w:rPr>
                <w:rFonts w:hint="eastAsia" w:ascii="宋体" w:hAnsi="宋体"/>
                <w:color w:val="auto"/>
                <w:sz w:val="21"/>
                <w:szCs w:val="21"/>
                <w:lang w:val="en-US" w:eastAsia="zh-CN"/>
              </w:rPr>
              <w:t>整体服务方案</w:t>
            </w:r>
          </w:p>
        </w:tc>
        <w:tc>
          <w:tcPr>
            <w:tcW w:w="3576" w:type="pct"/>
            <w:noWrap w:val="0"/>
            <w:vAlign w:val="center"/>
          </w:tcPr>
          <w:p>
            <w:pPr>
              <w:snapToGrid w:val="0"/>
              <w:spacing w:line="264" w:lineRule="auto"/>
              <w:rPr>
                <w:rFonts w:hint="eastAsia" w:ascii="宋体" w:hAnsi="宋体"/>
                <w:color w:val="auto"/>
                <w:sz w:val="21"/>
                <w:szCs w:val="21"/>
              </w:rPr>
            </w:pPr>
            <w:r>
              <w:rPr>
                <w:rFonts w:hint="eastAsia" w:ascii="宋体" w:hAnsi="宋体"/>
                <w:color w:val="auto"/>
                <w:sz w:val="21"/>
                <w:szCs w:val="21"/>
              </w:rPr>
              <w:t>（一）根据参选人提供的整体服务方案的框架内容进行评审，框架内容应包括（参选文件中方案标题应以下列方案名称命名）：</w:t>
            </w:r>
          </w:p>
          <w:p>
            <w:pPr>
              <w:snapToGrid w:val="0"/>
              <w:spacing w:line="264" w:lineRule="auto"/>
              <w:rPr>
                <w:rFonts w:hint="eastAsia" w:ascii="宋体" w:hAnsi="宋体"/>
                <w:color w:val="auto"/>
                <w:sz w:val="21"/>
                <w:szCs w:val="21"/>
              </w:rPr>
            </w:pPr>
            <w:r>
              <w:rPr>
                <w:rFonts w:hint="eastAsia" w:ascii="宋体" w:hAnsi="宋体"/>
                <w:color w:val="auto"/>
                <w:sz w:val="21"/>
                <w:szCs w:val="21"/>
              </w:rPr>
              <w:t>（1）具体服务方案</w:t>
            </w:r>
          </w:p>
          <w:p>
            <w:pPr>
              <w:snapToGrid w:val="0"/>
              <w:spacing w:line="264" w:lineRule="auto"/>
              <w:rPr>
                <w:rFonts w:hint="eastAsia" w:ascii="宋体" w:hAnsi="宋体"/>
                <w:color w:val="auto"/>
                <w:sz w:val="21"/>
                <w:szCs w:val="21"/>
              </w:rPr>
            </w:pPr>
            <w:r>
              <w:rPr>
                <w:rFonts w:hint="eastAsia" w:ascii="宋体" w:hAnsi="宋体"/>
                <w:color w:val="auto"/>
                <w:sz w:val="21"/>
                <w:szCs w:val="21"/>
              </w:rPr>
              <w:t>（2）项目实施进度安排</w:t>
            </w:r>
          </w:p>
          <w:p>
            <w:pPr>
              <w:snapToGrid w:val="0"/>
              <w:spacing w:line="264" w:lineRule="auto"/>
              <w:rPr>
                <w:rFonts w:hint="eastAsia" w:ascii="宋体" w:hAnsi="宋体"/>
                <w:color w:val="auto"/>
                <w:sz w:val="21"/>
                <w:szCs w:val="21"/>
              </w:rPr>
            </w:pPr>
            <w:r>
              <w:rPr>
                <w:rFonts w:hint="eastAsia" w:ascii="宋体" w:hAnsi="宋体"/>
                <w:color w:val="auto"/>
                <w:sz w:val="21"/>
                <w:szCs w:val="21"/>
              </w:rPr>
              <w:t>（3）应急处理预案</w:t>
            </w:r>
          </w:p>
          <w:p>
            <w:pPr>
              <w:snapToGrid w:val="0"/>
              <w:spacing w:line="264" w:lineRule="auto"/>
              <w:rPr>
                <w:rFonts w:hint="eastAsia" w:ascii="宋体" w:hAnsi="宋体"/>
                <w:color w:val="auto"/>
                <w:sz w:val="21"/>
                <w:szCs w:val="21"/>
              </w:rPr>
            </w:pPr>
            <w:r>
              <w:rPr>
                <w:rFonts w:hint="eastAsia" w:ascii="宋体" w:hAnsi="宋体"/>
                <w:color w:val="auto"/>
                <w:sz w:val="21"/>
                <w:szCs w:val="21"/>
              </w:rPr>
              <w:t>（4）售后服务方案</w:t>
            </w:r>
          </w:p>
          <w:p>
            <w:pPr>
              <w:snapToGrid w:val="0"/>
              <w:spacing w:line="264" w:lineRule="auto"/>
              <w:rPr>
                <w:rFonts w:hint="eastAsia" w:ascii="宋体" w:hAnsi="宋体"/>
                <w:color w:val="auto"/>
                <w:sz w:val="21"/>
                <w:szCs w:val="21"/>
              </w:rPr>
            </w:pPr>
            <w:r>
              <w:rPr>
                <w:rFonts w:hint="eastAsia" w:ascii="宋体" w:hAnsi="宋体"/>
                <w:color w:val="auto"/>
                <w:sz w:val="21"/>
                <w:szCs w:val="21"/>
              </w:rPr>
              <w:t>注：提供全部内容得2分，不提供或提供不全不得分。</w:t>
            </w:r>
          </w:p>
          <w:p>
            <w:pPr>
              <w:snapToGrid w:val="0"/>
              <w:spacing w:line="264" w:lineRule="auto"/>
              <w:rPr>
                <w:rFonts w:hint="eastAsia" w:ascii="宋体" w:hAnsi="宋体"/>
                <w:color w:val="auto"/>
                <w:sz w:val="21"/>
                <w:szCs w:val="21"/>
              </w:rPr>
            </w:pPr>
            <w:r>
              <w:rPr>
                <w:rFonts w:hint="eastAsia" w:ascii="宋体" w:hAnsi="宋体"/>
                <w:color w:val="auto"/>
                <w:sz w:val="21"/>
                <w:szCs w:val="21"/>
              </w:rPr>
              <w:t>（二）根据参选人的整体服务方案的详细内容进行综合评价：</w:t>
            </w:r>
          </w:p>
          <w:p>
            <w:pPr>
              <w:snapToGrid w:val="0"/>
              <w:spacing w:line="264" w:lineRule="auto"/>
              <w:rPr>
                <w:rFonts w:hint="eastAsia" w:ascii="宋体" w:hAnsi="宋体"/>
                <w:color w:val="auto"/>
                <w:sz w:val="21"/>
                <w:szCs w:val="21"/>
              </w:rPr>
            </w:pPr>
            <w:r>
              <w:rPr>
                <w:rFonts w:hint="eastAsia" w:ascii="宋体" w:hAnsi="宋体"/>
                <w:color w:val="auto"/>
                <w:sz w:val="21"/>
                <w:szCs w:val="21"/>
              </w:rPr>
              <w:t>（1）参选人针对本项目的整体实施方案全面、完善具体，科学合理，各阶段服务计划非常详尽，可行性强，得</w:t>
            </w:r>
            <w:r>
              <w:rPr>
                <w:rFonts w:hint="eastAsia" w:ascii="宋体" w:hAnsi="宋体"/>
                <w:color w:val="auto"/>
                <w:sz w:val="21"/>
                <w:szCs w:val="21"/>
                <w:lang w:val="en-US" w:eastAsia="zh-CN"/>
              </w:rPr>
              <w:t>10</w:t>
            </w:r>
            <w:r>
              <w:rPr>
                <w:rFonts w:hint="eastAsia" w:ascii="宋体" w:hAnsi="宋体"/>
                <w:color w:val="auto"/>
                <w:sz w:val="21"/>
                <w:szCs w:val="21"/>
              </w:rPr>
              <w:t>分；</w:t>
            </w:r>
          </w:p>
          <w:p>
            <w:pPr>
              <w:snapToGrid w:val="0"/>
              <w:spacing w:line="264" w:lineRule="auto"/>
              <w:rPr>
                <w:rFonts w:hint="eastAsia" w:ascii="宋体" w:hAnsi="宋体"/>
                <w:color w:val="auto"/>
                <w:sz w:val="21"/>
                <w:szCs w:val="21"/>
              </w:rPr>
            </w:pPr>
            <w:r>
              <w:rPr>
                <w:rFonts w:hint="eastAsia" w:ascii="宋体" w:hAnsi="宋体"/>
                <w:color w:val="auto"/>
                <w:sz w:val="21"/>
                <w:szCs w:val="21"/>
              </w:rPr>
              <w:t>（2）参选人针对本项目的整体实施方案相对简单，各阶段服务计划不够详尽，可行性一般，得</w:t>
            </w:r>
            <w:r>
              <w:rPr>
                <w:rFonts w:hint="eastAsia" w:ascii="宋体" w:hAnsi="宋体"/>
                <w:color w:val="auto"/>
                <w:sz w:val="21"/>
                <w:szCs w:val="21"/>
                <w:lang w:val="en-US" w:eastAsia="zh-CN"/>
              </w:rPr>
              <w:t>6</w:t>
            </w:r>
            <w:r>
              <w:rPr>
                <w:rFonts w:hint="eastAsia" w:ascii="宋体" w:hAnsi="宋体"/>
                <w:color w:val="auto"/>
                <w:sz w:val="21"/>
                <w:szCs w:val="21"/>
              </w:rPr>
              <w:t>分；</w:t>
            </w:r>
          </w:p>
          <w:p>
            <w:pPr>
              <w:snapToGrid w:val="0"/>
              <w:spacing w:line="264" w:lineRule="auto"/>
              <w:rPr>
                <w:rFonts w:hint="eastAsia" w:ascii="宋体" w:hAnsi="宋体"/>
                <w:color w:val="auto"/>
                <w:sz w:val="21"/>
                <w:szCs w:val="21"/>
              </w:rPr>
            </w:pPr>
            <w:r>
              <w:rPr>
                <w:rFonts w:hint="eastAsia" w:ascii="宋体" w:hAnsi="宋体"/>
                <w:color w:val="auto"/>
                <w:sz w:val="21"/>
                <w:szCs w:val="21"/>
              </w:rPr>
              <w:t xml:space="preserve">（3）参选人针对本项目的整体实施方案差，各阶段服务计划不够详尽，可行性差，或不提供方案，得 </w:t>
            </w:r>
            <w:r>
              <w:rPr>
                <w:rFonts w:hint="eastAsia" w:ascii="宋体" w:hAnsi="宋体"/>
                <w:color w:val="auto"/>
                <w:sz w:val="21"/>
                <w:szCs w:val="21"/>
                <w:lang w:val="en-US" w:eastAsia="zh-CN"/>
              </w:rPr>
              <w:t>2</w:t>
            </w:r>
            <w:r>
              <w:rPr>
                <w:rFonts w:hint="eastAsia" w:ascii="宋体" w:hAnsi="宋体"/>
                <w:color w:val="auto"/>
                <w:sz w:val="21"/>
                <w:szCs w:val="21"/>
              </w:rPr>
              <w:t>分；</w:t>
            </w:r>
          </w:p>
          <w:p>
            <w:pPr>
              <w:snapToGrid w:val="0"/>
              <w:spacing w:line="264" w:lineRule="auto"/>
              <w:rPr>
                <w:rFonts w:hint="eastAsia" w:ascii="宋体" w:hAnsi="宋体"/>
                <w:color w:val="auto"/>
                <w:sz w:val="21"/>
                <w:szCs w:val="21"/>
              </w:rPr>
            </w:pPr>
            <w:r>
              <w:rPr>
                <w:rFonts w:hint="eastAsia" w:ascii="宋体" w:hAnsi="宋体"/>
                <w:color w:val="auto"/>
                <w:sz w:val="21"/>
                <w:szCs w:val="21"/>
              </w:rPr>
              <w:t>（4）不提供不得分。</w:t>
            </w:r>
          </w:p>
        </w:tc>
        <w:tc>
          <w:tcPr>
            <w:tcW w:w="412" w:type="pct"/>
            <w:tcBorders>
              <w:right w:val="single" w:color="auto" w:sz="12" w:space="0"/>
            </w:tcBorders>
            <w:noWrap w:val="0"/>
            <w:vAlign w:val="center"/>
          </w:tcPr>
          <w:p>
            <w:pPr>
              <w:snapToGrid w:val="0"/>
              <w:spacing w:line="264" w:lineRule="auto"/>
              <w:ind w:left="-78" w:leftChars="-37" w:right="-73" w:rightChars="-35"/>
              <w:jc w:val="center"/>
              <w:rPr>
                <w:rFonts w:ascii="宋体" w:hAnsi="宋体" w:cs="宋体"/>
                <w:color w:val="auto"/>
                <w:sz w:val="21"/>
                <w:szCs w:val="21"/>
              </w:rPr>
            </w:pPr>
            <w:r>
              <w:rPr>
                <w:rFonts w:hint="eastAsia" w:ascii="宋体" w:hAnsi="宋体" w:cs="宋体"/>
                <w:color w:val="auto"/>
                <w:sz w:val="21"/>
                <w:szCs w:val="21"/>
                <w:lang w:val="en-US" w:eastAsia="zh-CN"/>
              </w:rPr>
              <w:t>12</w:t>
            </w:r>
            <w:r>
              <w:rPr>
                <w:rFonts w:hint="eastAsia" w:ascii="宋体" w:hAnsi="宋体" w:cs="宋体"/>
                <w:color w:val="auto"/>
                <w:sz w:val="21"/>
                <w:szCs w:val="21"/>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8" w:type="dxa"/>
            <w:left w:w="108" w:type="dxa"/>
            <w:bottom w:w="28" w:type="dxa"/>
            <w:right w:w="108" w:type="dxa"/>
          </w:tblCellMar>
        </w:tblPrEx>
        <w:trPr>
          <w:trHeight w:val="378" w:hRule="atLeast"/>
        </w:trPr>
        <w:tc>
          <w:tcPr>
            <w:tcW w:w="433" w:type="pct"/>
            <w:tcBorders>
              <w:left w:val="single" w:color="auto" w:sz="12" w:space="0"/>
            </w:tcBorders>
            <w:noWrap w:val="0"/>
            <w:vAlign w:val="center"/>
          </w:tcPr>
          <w:p>
            <w:pPr>
              <w:pStyle w:val="6"/>
              <w:widowControl w:val="0"/>
              <w:numPr>
                <w:ilvl w:val="0"/>
                <w:numId w:val="0"/>
              </w:numPr>
              <w:snapToGrid w:val="0"/>
              <w:spacing w:line="264" w:lineRule="auto"/>
              <w:ind w:firstLine="210" w:firstLineChars="100"/>
              <w:jc w:val="both"/>
              <w:rPr>
                <w:rFonts w:hint="eastAsia" w:ascii="宋体" w:hAnsi="宋体" w:eastAsia="黑体"/>
                <w:color w:val="auto"/>
                <w:sz w:val="21"/>
                <w:szCs w:val="21"/>
                <w:highlight w:val="yellow"/>
                <w:lang w:val="en-US" w:eastAsia="zh-CN"/>
              </w:rPr>
            </w:pPr>
            <w:r>
              <w:rPr>
                <w:rFonts w:hint="eastAsia" w:ascii="宋体" w:hAnsi="宋体"/>
                <w:color w:val="auto"/>
                <w:sz w:val="21"/>
                <w:szCs w:val="21"/>
                <w:highlight w:val="none"/>
                <w:shd w:val="clear" w:color="auto" w:fill="auto"/>
                <w:lang w:val="en-US" w:eastAsia="zh-CN"/>
              </w:rPr>
              <w:t>3</w:t>
            </w:r>
          </w:p>
        </w:tc>
        <w:tc>
          <w:tcPr>
            <w:tcW w:w="578" w:type="pct"/>
            <w:noWrap w:val="0"/>
            <w:vAlign w:val="center"/>
          </w:tcPr>
          <w:p>
            <w:pPr>
              <w:snapToGrid w:val="0"/>
              <w:spacing w:line="264" w:lineRule="auto"/>
              <w:jc w:val="center"/>
              <w:rPr>
                <w:rFonts w:hint="eastAsia" w:ascii="宋体" w:hAnsi="宋体" w:eastAsia="宋体"/>
                <w:color w:val="auto"/>
                <w:sz w:val="21"/>
                <w:szCs w:val="21"/>
                <w:lang w:eastAsia="zh-CN"/>
              </w:rPr>
            </w:pPr>
            <w:r>
              <w:rPr>
                <w:rFonts w:hint="eastAsia" w:ascii="宋体" w:hAnsi="宋体" w:eastAsia="宋体"/>
                <w:color w:val="auto"/>
                <w:sz w:val="21"/>
                <w:szCs w:val="21"/>
                <w:lang w:eastAsia="zh-CN"/>
              </w:rPr>
              <w:t>服务质量保障方案</w:t>
            </w:r>
          </w:p>
        </w:tc>
        <w:tc>
          <w:tcPr>
            <w:tcW w:w="3576" w:type="pct"/>
            <w:noWrap w:val="0"/>
            <w:vAlign w:val="center"/>
          </w:tcPr>
          <w:p>
            <w:pPr>
              <w:snapToGrid w:val="0"/>
              <w:spacing w:line="264" w:lineRule="auto"/>
              <w:rPr>
                <w:rFonts w:hint="eastAsia" w:ascii="宋体" w:hAnsi="宋体"/>
                <w:color w:val="auto"/>
                <w:sz w:val="21"/>
                <w:szCs w:val="21"/>
              </w:rPr>
            </w:pPr>
            <w:r>
              <w:rPr>
                <w:rFonts w:hint="eastAsia" w:ascii="宋体" w:hAnsi="宋体"/>
                <w:color w:val="auto"/>
                <w:sz w:val="21"/>
                <w:szCs w:val="21"/>
              </w:rPr>
              <w:t>（一）根据参选人提供的服务质量保障方案的框架内容进行评审，框架内容应包括（参选文件中方案标题应以下列方案名称命名）：</w:t>
            </w:r>
          </w:p>
          <w:p>
            <w:pPr>
              <w:snapToGrid w:val="0"/>
              <w:spacing w:line="264" w:lineRule="auto"/>
              <w:rPr>
                <w:rFonts w:hint="eastAsia" w:ascii="宋体" w:hAnsi="宋体"/>
                <w:color w:val="auto"/>
                <w:sz w:val="21"/>
                <w:szCs w:val="21"/>
              </w:rPr>
            </w:pPr>
            <w:r>
              <w:rPr>
                <w:rFonts w:hint="eastAsia" w:ascii="宋体" w:hAnsi="宋体"/>
                <w:color w:val="auto"/>
                <w:sz w:val="21"/>
                <w:szCs w:val="21"/>
              </w:rPr>
              <w:t>（1）服务质量目标</w:t>
            </w:r>
          </w:p>
          <w:p>
            <w:pPr>
              <w:snapToGrid w:val="0"/>
              <w:spacing w:line="264" w:lineRule="auto"/>
              <w:rPr>
                <w:rFonts w:hint="eastAsia" w:ascii="宋体" w:hAnsi="宋体"/>
                <w:color w:val="auto"/>
                <w:sz w:val="21"/>
                <w:szCs w:val="21"/>
              </w:rPr>
            </w:pPr>
            <w:r>
              <w:rPr>
                <w:rFonts w:hint="eastAsia" w:ascii="宋体" w:hAnsi="宋体"/>
                <w:color w:val="auto"/>
                <w:sz w:val="21"/>
                <w:szCs w:val="21"/>
              </w:rPr>
              <w:t>（2）质量管理制度</w:t>
            </w:r>
          </w:p>
          <w:p>
            <w:pPr>
              <w:snapToGrid w:val="0"/>
              <w:spacing w:line="264" w:lineRule="auto"/>
              <w:rPr>
                <w:rFonts w:hint="eastAsia" w:ascii="宋体" w:hAnsi="宋体"/>
                <w:color w:val="auto"/>
                <w:sz w:val="21"/>
                <w:szCs w:val="21"/>
              </w:rPr>
            </w:pPr>
            <w:r>
              <w:rPr>
                <w:rFonts w:hint="eastAsia" w:ascii="宋体" w:hAnsi="宋体"/>
                <w:color w:val="auto"/>
                <w:sz w:val="21"/>
                <w:szCs w:val="21"/>
              </w:rPr>
              <w:t>（3）质量保障措施</w:t>
            </w:r>
          </w:p>
          <w:p>
            <w:pPr>
              <w:snapToGrid w:val="0"/>
              <w:spacing w:line="264" w:lineRule="auto"/>
              <w:rPr>
                <w:rFonts w:hint="eastAsia" w:ascii="宋体" w:hAnsi="宋体"/>
                <w:color w:val="auto"/>
                <w:sz w:val="21"/>
                <w:szCs w:val="21"/>
              </w:rPr>
            </w:pPr>
            <w:r>
              <w:rPr>
                <w:rFonts w:hint="eastAsia" w:ascii="宋体" w:hAnsi="宋体"/>
                <w:color w:val="auto"/>
                <w:sz w:val="21"/>
                <w:szCs w:val="21"/>
              </w:rPr>
              <w:t>注：提供全部内容得</w:t>
            </w:r>
            <w:r>
              <w:rPr>
                <w:rFonts w:hint="eastAsia" w:ascii="宋体" w:hAnsi="宋体"/>
                <w:color w:val="auto"/>
                <w:sz w:val="21"/>
                <w:szCs w:val="21"/>
                <w:lang w:val="en-US" w:eastAsia="zh-CN"/>
              </w:rPr>
              <w:t>2</w:t>
            </w:r>
            <w:r>
              <w:rPr>
                <w:rFonts w:hint="eastAsia" w:ascii="宋体" w:hAnsi="宋体"/>
                <w:color w:val="auto"/>
                <w:sz w:val="21"/>
                <w:szCs w:val="21"/>
              </w:rPr>
              <w:t>分，不提供或提供不全不得分。</w:t>
            </w:r>
          </w:p>
          <w:p>
            <w:pPr>
              <w:snapToGrid w:val="0"/>
              <w:spacing w:line="264" w:lineRule="auto"/>
              <w:rPr>
                <w:rFonts w:hint="eastAsia" w:ascii="宋体" w:hAnsi="宋体"/>
                <w:color w:val="auto"/>
                <w:sz w:val="21"/>
                <w:szCs w:val="21"/>
              </w:rPr>
            </w:pPr>
            <w:r>
              <w:rPr>
                <w:rFonts w:hint="eastAsia" w:ascii="宋体" w:hAnsi="宋体"/>
                <w:color w:val="auto"/>
                <w:sz w:val="21"/>
                <w:szCs w:val="21"/>
              </w:rPr>
              <w:t>（二）根据参选人提供的服务质量保障方案的详细内容进行综合评价：</w:t>
            </w:r>
          </w:p>
          <w:p>
            <w:pPr>
              <w:snapToGrid w:val="0"/>
              <w:spacing w:line="264" w:lineRule="auto"/>
              <w:rPr>
                <w:rFonts w:hint="eastAsia" w:ascii="宋体" w:hAnsi="宋体"/>
                <w:color w:val="auto"/>
                <w:sz w:val="21"/>
                <w:szCs w:val="21"/>
              </w:rPr>
            </w:pPr>
            <w:r>
              <w:rPr>
                <w:rFonts w:hint="eastAsia" w:ascii="宋体" w:hAnsi="宋体"/>
                <w:color w:val="auto"/>
                <w:sz w:val="21"/>
                <w:szCs w:val="21"/>
              </w:rPr>
              <w:t xml:space="preserve">（1）质量目标、质量管理制度内容详细完整，质量保障措施及相关承诺和合理化建议科学合理，可行性高，得9分； </w:t>
            </w:r>
          </w:p>
          <w:p>
            <w:pPr>
              <w:snapToGrid w:val="0"/>
              <w:spacing w:line="264" w:lineRule="auto"/>
              <w:rPr>
                <w:rFonts w:hint="eastAsia" w:ascii="宋体" w:hAnsi="宋体"/>
                <w:color w:val="auto"/>
                <w:sz w:val="21"/>
                <w:szCs w:val="21"/>
              </w:rPr>
            </w:pPr>
            <w:r>
              <w:rPr>
                <w:rFonts w:hint="eastAsia" w:ascii="宋体" w:hAnsi="宋体"/>
                <w:color w:val="auto"/>
                <w:sz w:val="21"/>
                <w:szCs w:val="21"/>
              </w:rPr>
              <w:t xml:space="preserve">（2）质量目标、质量管理制度内容较详细完整，质量保障措施及相关承诺和合理化建议较科学合理，可行性较高，得4分； </w:t>
            </w:r>
          </w:p>
          <w:p>
            <w:pPr>
              <w:snapToGrid w:val="0"/>
              <w:spacing w:line="264" w:lineRule="auto"/>
              <w:rPr>
                <w:rFonts w:hint="eastAsia" w:ascii="宋体" w:hAnsi="宋体"/>
                <w:color w:val="auto"/>
                <w:sz w:val="21"/>
                <w:szCs w:val="21"/>
              </w:rPr>
            </w:pPr>
            <w:r>
              <w:rPr>
                <w:rFonts w:hint="eastAsia" w:ascii="宋体" w:hAnsi="宋体"/>
                <w:color w:val="auto"/>
                <w:sz w:val="21"/>
                <w:szCs w:val="21"/>
              </w:rPr>
              <w:t>（3）质量目标、质量管理制度内容基本完整，质量保障措施及相关承诺和合理化建议基本科学合理，可行性一般，得</w:t>
            </w:r>
            <w:r>
              <w:rPr>
                <w:rFonts w:hint="eastAsia" w:ascii="宋体" w:hAnsi="宋体"/>
                <w:color w:val="auto"/>
                <w:sz w:val="21"/>
                <w:szCs w:val="21"/>
                <w:lang w:val="en-US" w:eastAsia="zh-CN"/>
              </w:rPr>
              <w:t>1</w:t>
            </w:r>
            <w:r>
              <w:rPr>
                <w:rFonts w:hint="eastAsia" w:ascii="宋体" w:hAnsi="宋体"/>
                <w:color w:val="auto"/>
                <w:sz w:val="21"/>
                <w:szCs w:val="21"/>
              </w:rPr>
              <w:t xml:space="preserve">分； </w:t>
            </w:r>
          </w:p>
          <w:p>
            <w:pPr>
              <w:snapToGrid w:val="0"/>
              <w:spacing w:line="264" w:lineRule="auto"/>
              <w:rPr>
                <w:rFonts w:hint="eastAsia" w:ascii="宋体" w:hAnsi="宋体"/>
                <w:color w:val="auto"/>
                <w:sz w:val="21"/>
                <w:szCs w:val="21"/>
              </w:rPr>
            </w:pPr>
            <w:r>
              <w:rPr>
                <w:rFonts w:hint="eastAsia" w:ascii="宋体" w:hAnsi="宋体"/>
                <w:color w:val="auto"/>
                <w:sz w:val="21"/>
                <w:szCs w:val="21"/>
              </w:rPr>
              <w:t>（4）质量目标、质量管理制度内容不够完整，质量保障措施及相关承诺和合理化建议不够合理，可行性较差，或不提供方案，得 0分；</w:t>
            </w:r>
          </w:p>
        </w:tc>
        <w:tc>
          <w:tcPr>
            <w:tcW w:w="412" w:type="pct"/>
            <w:tcBorders>
              <w:right w:val="single" w:color="auto" w:sz="12" w:space="0"/>
            </w:tcBorders>
            <w:noWrap w:val="0"/>
            <w:vAlign w:val="center"/>
          </w:tcPr>
          <w:p>
            <w:pPr>
              <w:snapToGrid w:val="0"/>
              <w:spacing w:line="264" w:lineRule="auto"/>
              <w:ind w:left="-78" w:leftChars="-37" w:right="-73" w:rightChars="-35"/>
              <w:jc w:val="center"/>
              <w:rPr>
                <w:rFonts w:ascii="宋体" w:hAnsi="宋体" w:cs="宋体"/>
                <w:color w:val="auto"/>
                <w:sz w:val="21"/>
                <w:szCs w:val="21"/>
              </w:rPr>
            </w:pPr>
            <w:r>
              <w:rPr>
                <w:rFonts w:hint="eastAsia" w:ascii="宋体" w:hAnsi="宋体" w:cs="宋体"/>
                <w:color w:val="auto"/>
                <w:sz w:val="21"/>
                <w:szCs w:val="21"/>
                <w:lang w:val="en-US" w:eastAsia="zh-CN"/>
              </w:rPr>
              <w:t>11</w:t>
            </w:r>
            <w:r>
              <w:rPr>
                <w:rFonts w:hint="eastAsia" w:ascii="宋体" w:hAnsi="宋体" w:cs="宋体"/>
                <w:color w:val="auto"/>
                <w:sz w:val="21"/>
                <w:szCs w:val="21"/>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8" w:type="dxa"/>
            <w:left w:w="108" w:type="dxa"/>
            <w:bottom w:w="28" w:type="dxa"/>
            <w:right w:w="108" w:type="dxa"/>
          </w:tblCellMar>
        </w:tblPrEx>
        <w:trPr>
          <w:trHeight w:val="377" w:hRule="atLeast"/>
        </w:trPr>
        <w:tc>
          <w:tcPr>
            <w:tcW w:w="433" w:type="pct"/>
            <w:tcBorders>
              <w:top w:val="single" w:color="auto" w:sz="4" w:space="0"/>
              <w:left w:val="single" w:color="auto" w:sz="12" w:space="0"/>
            </w:tcBorders>
            <w:noWrap w:val="0"/>
            <w:vAlign w:val="center"/>
          </w:tcPr>
          <w:p>
            <w:pPr>
              <w:widowControl/>
              <w:snapToGrid w:val="0"/>
              <w:spacing w:line="264" w:lineRule="auto"/>
              <w:jc w:val="center"/>
              <w:rPr>
                <w:rFonts w:ascii="黑体" w:hAnsi="宋体" w:eastAsia="黑体" w:cs="宋体"/>
                <w:color w:val="auto"/>
                <w:sz w:val="24"/>
              </w:rPr>
            </w:pPr>
            <w:r>
              <w:rPr>
                <w:rFonts w:hint="eastAsia" w:ascii="黑体" w:hAnsi="宋体" w:eastAsia="黑体" w:cs="宋体"/>
                <w:color w:val="auto"/>
                <w:sz w:val="24"/>
              </w:rPr>
              <w:t>二</w:t>
            </w:r>
          </w:p>
        </w:tc>
        <w:tc>
          <w:tcPr>
            <w:tcW w:w="4566" w:type="pct"/>
            <w:gridSpan w:val="3"/>
            <w:tcBorders>
              <w:right w:val="single" w:color="auto" w:sz="12" w:space="0"/>
            </w:tcBorders>
            <w:noWrap w:val="0"/>
            <w:vAlign w:val="center"/>
          </w:tcPr>
          <w:p>
            <w:pPr>
              <w:widowControl/>
              <w:snapToGrid w:val="0"/>
              <w:spacing w:line="264" w:lineRule="auto"/>
              <w:ind w:left="-78" w:leftChars="-37" w:right="-73" w:rightChars="-35"/>
              <w:jc w:val="center"/>
              <w:rPr>
                <w:rFonts w:ascii="黑体" w:hAnsi="宋体" w:eastAsia="黑体" w:cs="宋体"/>
                <w:color w:val="auto"/>
                <w:sz w:val="24"/>
              </w:rPr>
            </w:pPr>
            <w:r>
              <w:rPr>
                <w:rFonts w:hint="eastAsia" w:ascii="黑体" w:hAnsi="宋体" w:eastAsia="黑体" w:cs="宋体"/>
                <w:color w:val="auto"/>
                <w:sz w:val="24"/>
              </w:rPr>
              <w:t>商务部分(合计</w:t>
            </w:r>
            <w:r>
              <w:rPr>
                <w:rFonts w:hint="eastAsia" w:ascii="黑体" w:hAnsi="宋体" w:eastAsia="黑体" w:cs="宋体"/>
                <w:color w:val="auto"/>
                <w:sz w:val="24"/>
                <w:lang w:val="en-US" w:eastAsia="zh-CN"/>
              </w:rPr>
              <w:t>30</w:t>
            </w:r>
            <w:r>
              <w:rPr>
                <w:rFonts w:hint="eastAsia" w:ascii="黑体" w:hAnsi="宋体" w:eastAsia="黑体" w:cs="宋体"/>
                <w:color w:val="auto"/>
                <w:sz w:val="24"/>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8" w:type="dxa"/>
            <w:left w:w="108" w:type="dxa"/>
            <w:bottom w:w="28" w:type="dxa"/>
            <w:right w:w="108" w:type="dxa"/>
          </w:tblCellMar>
        </w:tblPrEx>
        <w:trPr>
          <w:trHeight w:val="90" w:hRule="atLeast"/>
        </w:trPr>
        <w:tc>
          <w:tcPr>
            <w:tcW w:w="433" w:type="pct"/>
            <w:tcBorders>
              <w:left w:val="single" w:color="auto" w:sz="12" w:space="0"/>
              <w:bottom w:val="single" w:color="auto" w:sz="4" w:space="0"/>
            </w:tcBorders>
            <w:noWrap w:val="0"/>
            <w:vAlign w:val="center"/>
          </w:tcPr>
          <w:p>
            <w:pPr>
              <w:pStyle w:val="6"/>
              <w:widowControl w:val="0"/>
              <w:numPr>
                <w:ilvl w:val="0"/>
                <w:numId w:val="0"/>
              </w:numPr>
              <w:snapToGrid w:val="0"/>
              <w:spacing w:line="264" w:lineRule="auto"/>
              <w:ind w:firstLine="210" w:firstLineChars="100"/>
              <w:jc w:val="both"/>
              <w:rPr>
                <w:rFonts w:hint="eastAsia" w:ascii="宋体" w:hAnsi="宋体" w:eastAsia="黑体"/>
                <w:color w:val="auto"/>
                <w:sz w:val="21"/>
                <w:szCs w:val="21"/>
                <w:lang w:val="en-US" w:eastAsia="zh-CN"/>
              </w:rPr>
            </w:pPr>
            <w:bookmarkStart w:id="0" w:name="_GoBack"/>
            <w:r>
              <w:rPr>
                <w:rFonts w:hint="eastAsia" w:ascii="宋体" w:hAnsi="宋体"/>
                <w:color w:val="auto"/>
                <w:sz w:val="21"/>
                <w:szCs w:val="21"/>
                <w:lang w:val="en-US" w:eastAsia="zh-CN"/>
              </w:rPr>
              <w:t>1</w:t>
            </w:r>
          </w:p>
        </w:tc>
        <w:tc>
          <w:tcPr>
            <w:tcW w:w="578" w:type="pct"/>
            <w:noWrap w:val="0"/>
            <w:vAlign w:val="center"/>
          </w:tcPr>
          <w:p>
            <w:pPr>
              <w:snapToGrid w:val="0"/>
              <w:spacing w:line="264" w:lineRule="auto"/>
              <w:ind w:right="-88" w:rightChars="-42"/>
              <w:jc w:val="center"/>
              <w:rPr>
                <w:rFonts w:ascii="宋体" w:hAnsi="宋体" w:cs="宋体"/>
                <w:color w:val="auto"/>
                <w:sz w:val="21"/>
                <w:szCs w:val="21"/>
              </w:rPr>
            </w:pPr>
            <w:r>
              <w:rPr>
                <w:rFonts w:hint="eastAsia" w:ascii="宋体" w:hAnsi="宋体" w:cs="宋体"/>
                <w:color w:val="auto"/>
                <w:sz w:val="21"/>
                <w:szCs w:val="21"/>
              </w:rPr>
              <w:t>商务条款响应情况</w:t>
            </w:r>
          </w:p>
        </w:tc>
        <w:tc>
          <w:tcPr>
            <w:tcW w:w="3576" w:type="pct"/>
            <w:noWrap w:val="0"/>
            <w:vAlign w:val="center"/>
          </w:tcPr>
          <w:p>
            <w:pPr>
              <w:snapToGrid w:val="0"/>
              <w:spacing w:line="264" w:lineRule="auto"/>
              <w:ind w:left="40" w:leftChars="19" w:right="-88" w:rightChars="-42"/>
              <w:rPr>
                <w:rFonts w:hint="eastAsia" w:ascii="宋体" w:hAnsi="宋体"/>
                <w:color w:val="auto"/>
                <w:sz w:val="21"/>
                <w:szCs w:val="21"/>
              </w:rPr>
            </w:pPr>
            <w:r>
              <w:rPr>
                <w:rFonts w:hint="eastAsia" w:ascii="宋体" w:hAnsi="宋体"/>
                <w:color w:val="auto"/>
                <w:sz w:val="21"/>
                <w:szCs w:val="21"/>
                <w:lang w:val="en-US" w:eastAsia="zh-CN"/>
              </w:rPr>
              <w:t>根据参选人</w:t>
            </w:r>
            <w:r>
              <w:rPr>
                <w:rFonts w:hint="eastAsia" w:ascii="宋体" w:hAnsi="宋体"/>
                <w:color w:val="auto"/>
                <w:sz w:val="21"/>
                <w:szCs w:val="21"/>
              </w:rPr>
              <w:t>针对需求商务要求中</w:t>
            </w:r>
            <w:r>
              <w:rPr>
                <w:rFonts w:hint="eastAsia" w:ascii="宋体" w:hAnsi="宋体"/>
                <w:color w:val="auto"/>
                <w:sz w:val="21"/>
                <w:szCs w:val="21"/>
                <w:lang w:eastAsia="zh-CN"/>
              </w:rPr>
              <w:t>（</w:t>
            </w:r>
            <w:r>
              <w:rPr>
                <w:rFonts w:hint="eastAsia" w:ascii="宋体" w:hAnsi="宋体"/>
                <w:color w:val="auto"/>
                <w:sz w:val="21"/>
                <w:szCs w:val="21"/>
                <w:lang w:val="en-US" w:eastAsia="zh-CN"/>
              </w:rPr>
              <w:t>除“</w:t>
            </w:r>
            <w:r>
              <w:rPr>
                <w:rFonts w:hint="eastAsia" w:ascii="宋体" w:hAnsi="宋体" w:cs="宋体"/>
                <w:color w:val="auto"/>
                <w:sz w:val="21"/>
                <w:szCs w:val="21"/>
              </w:rPr>
              <w:t>★</w:t>
            </w:r>
            <w:r>
              <w:rPr>
                <w:rFonts w:hint="eastAsia" w:ascii="宋体" w:hAnsi="宋体"/>
                <w:color w:val="auto"/>
                <w:sz w:val="21"/>
                <w:szCs w:val="21"/>
                <w:lang w:val="en-US" w:eastAsia="zh-CN"/>
              </w:rPr>
              <w:t>”条款、验收要求、付款方式外</w:t>
            </w:r>
            <w:r>
              <w:rPr>
                <w:rFonts w:hint="eastAsia" w:ascii="宋体" w:hAnsi="宋体"/>
                <w:color w:val="auto"/>
                <w:sz w:val="21"/>
                <w:szCs w:val="21"/>
                <w:lang w:eastAsia="zh-CN"/>
              </w:rPr>
              <w:t>）</w:t>
            </w:r>
            <w:r>
              <w:rPr>
                <w:rFonts w:hint="eastAsia" w:ascii="宋体" w:hAnsi="宋体"/>
                <w:color w:val="auto"/>
                <w:sz w:val="21"/>
                <w:szCs w:val="21"/>
                <w:lang w:val="en-US" w:eastAsia="zh-CN"/>
              </w:rPr>
              <w:t>条款</w:t>
            </w:r>
            <w:r>
              <w:rPr>
                <w:rFonts w:hint="eastAsia" w:ascii="宋体" w:hAnsi="宋体"/>
                <w:color w:val="auto"/>
                <w:sz w:val="21"/>
                <w:szCs w:val="21"/>
              </w:rPr>
              <w:t xml:space="preserve">的响应情况进行评审： </w:t>
            </w:r>
          </w:p>
          <w:p>
            <w:pPr>
              <w:snapToGrid w:val="0"/>
              <w:spacing w:line="264" w:lineRule="auto"/>
              <w:ind w:left="40" w:leftChars="19" w:right="-88" w:rightChars="-42"/>
              <w:rPr>
                <w:rFonts w:hint="eastAsia" w:ascii="宋体" w:hAnsi="宋体"/>
                <w:color w:val="auto"/>
                <w:sz w:val="21"/>
                <w:szCs w:val="21"/>
              </w:rPr>
            </w:pPr>
            <w:r>
              <w:rPr>
                <w:rFonts w:hint="eastAsia" w:ascii="宋体" w:hAnsi="宋体"/>
                <w:color w:val="auto"/>
                <w:sz w:val="21"/>
                <w:szCs w:val="21"/>
              </w:rPr>
              <w:t>全部商务条款响应情况为“正偏离”或“符合”或“无偏离”的，得5分；每有一项商务条款响应情况为“负偏离”的，扣1分，扣完为止。</w:t>
            </w:r>
          </w:p>
          <w:p>
            <w:pPr>
              <w:snapToGrid w:val="0"/>
              <w:spacing w:line="264" w:lineRule="auto"/>
              <w:ind w:left="40" w:leftChars="19" w:right="-88" w:rightChars="-42"/>
              <w:rPr>
                <w:rFonts w:hint="eastAsia" w:ascii="宋体" w:hAnsi="宋体"/>
                <w:color w:val="auto"/>
                <w:sz w:val="21"/>
                <w:szCs w:val="21"/>
              </w:rPr>
            </w:pPr>
            <w:r>
              <w:rPr>
                <w:rFonts w:hint="eastAsia" w:ascii="宋体" w:hAnsi="宋体"/>
                <w:color w:val="auto"/>
                <w:sz w:val="21"/>
                <w:szCs w:val="21"/>
              </w:rPr>
              <w:t>备注：如用户需求书中有明确要求提供证明材料的，则以用户需求书要求的为准，未按要求提供证明资料的不得分；如用户需求书中无明确要求提供证明材料的，以参选人的响应情况为准，未响应的均不得分。</w:t>
            </w:r>
          </w:p>
        </w:tc>
        <w:tc>
          <w:tcPr>
            <w:tcW w:w="412" w:type="pct"/>
            <w:tcBorders>
              <w:right w:val="single" w:color="auto" w:sz="12" w:space="0"/>
            </w:tcBorders>
            <w:noWrap w:val="0"/>
            <w:vAlign w:val="center"/>
          </w:tcPr>
          <w:p>
            <w:pPr>
              <w:snapToGrid w:val="0"/>
              <w:spacing w:line="264" w:lineRule="auto"/>
              <w:ind w:left="-78" w:leftChars="-37" w:right="-73" w:rightChars="-35"/>
              <w:jc w:val="center"/>
              <w:rPr>
                <w:rFonts w:ascii="宋体" w:hAnsi="宋体" w:cs="宋体"/>
                <w:color w:val="auto"/>
                <w:sz w:val="21"/>
                <w:szCs w:val="21"/>
              </w:rPr>
            </w:pPr>
            <w:r>
              <w:rPr>
                <w:rFonts w:hint="eastAsia" w:ascii="宋体" w:hAnsi="宋体" w:cs="宋体"/>
                <w:color w:val="auto"/>
                <w:sz w:val="21"/>
                <w:szCs w:val="21"/>
                <w:lang w:val="en-US" w:eastAsia="zh-CN"/>
              </w:rPr>
              <w:t>5</w:t>
            </w:r>
            <w:r>
              <w:rPr>
                <w:rFonts w:hint="eastAsia" w:ascii="宋体" w:hAnsi="宋体" w:cs="宋体"/>
                <w:color w:val="auto"/>
                <w:sz w:val="21"/>
                <w:szCs w:val="21"/>
              </w:rPr>
              <w:t>分</w:t>
            </w:r>
          </w:p>
        </w:tc>
      </w:tr>
      <w:bookmarkEnd w:id="0"/>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8" w:type="dxa"/>
            <w:left w:w="108" w:type="dxa"/>
            <w:bottom w:w="28" w:type="dxa"/>
            <w:right w:w="108" w:type="dxa"/>
          </w:tblCellMar>
        </w:tblPrEx>
        <w:trPr>
          <w:trHeight w:val="861" w:hRule="atLeast"/>
        </w:trPr>
        <w:tc>
          <w:tcPr>
            <w:tcW w:w="433" w:type="pct"/>
            <w:tcBorders>
              <w:top w:val="single" w:color="auto" w:sz="4" w:space="0"/>
              <w:left w:val="single" w:color="auto" w:sz="12" w:space="0"/>
              <w:bottom w:val="single" w:color="auto" w:sz="4" w:space="0"/>
            </w:tcBorders>
            <w:noWrap w:val="0"/>
            <w:vAlign w:val="center"/>
          </w:tcPr>
          <w:p>
            <w:pPr>
              <w:pStyle w:val="6"/>
              <w:widowControl w:val="0"/>
              <w:numPr>
                <w:ilvl w:val="0"/>
                <w:numId w:val="0"/>
              </w:numPr>
              <w:snapToGrid w:val="0"/>
              <w:spacing w:line="264" w:lineRule="auto"/>
              <w:ind w:firstLine="210" w:firstLineChars="100"/>
              <w:jc w:val="both"/>
              <w:rPr>
                <w:rFonts w:hint="eastAsia" w:ascii="宋体" w:hAnsi="宋体"/>
                <w:color w:val="auto"/>
                <w:sz w:val="21"/>
                <w:szCs w:val="21"/>
                <w:lang w:val="en-US" w:eastAsia="zh-CN"/>
              </w:rPr>
            </w:pPr>
            <w:r>
              <w:rPr>
                <w:rFonts w:hint="eastAsia" w:ascii="宋体" w:hAnsi="宋体"/>
                <w:color w:val="auto"/>
                <w:sz w:val="21"/>
                <w:szCs w:val="21"/>
                <w:lang w:val="en-US" w:eastAsia="zh-CN"/>
              </w:rPr>
              <w:t>2</w:t>
            </w:r>
          </w:p>
        </w:tc>
        <w:tc>
          <w:tcPr>
            <w:tcW w:w="578" w:type="pct"/>
            <w:noWrap w:val="0"/>
            <w:vAlign w:val="center"/>
          </w:tcPr>
          <w:p>
            <w:pPr>
              <w:snapToGrid w:val="0"/>
              <w:spacing w:line="264" w:lineRule="auto"/>
              <w:jc w:val="center"/>
              <w:rPr>
                <w:rFonts w:hint="eastAsia" w:ascii="宋体" w:hAnsi="宋体" w:cs="宋体"/>
                <w:color w:val="auto"/>
                <w:sz w:val="21"/>
                <w:szCs w:val="21"/>
                <w:lang w:eastAsia="zh-CN"/>
              </w:rPr>
            </w:pPr>
            <w:r>
              <w:rPr>
                <w:rFonts w:hint="eastAsia"/>
                <w:color w:val="auto"/>
                <w:sz w:val="21"/>
                <w:szCs w:val="21"/>
              </w:rPr>
              <w:t>同类项目业绩</w:t>
            </w:r>
            <w:r>
              <w:rPr>
                <w:color w:val="auto"/>
                <w:sz w:val="21"/>
                <w:szCs w:val="21"/>
              </w:rPr>
              <w:t xml:space="preserve"> </w:t>
            </w:r>
          </w:p>
        </w:tc>
        <w:tc>
          <w:tcPr>
            <w:tcW w:w="3576" w:type="pct"/>
            <w:noWrap w:val="0"/>
            <w:vAlign w:val="center"/>
          </w:tcPr>
          <w:p>
            <w:pPr>
              <w:widowControl/>
              <w:numPr>
                <w:ilvl w:val="0"/>
                <w:numId w:val="0"/>
              </w:numPr>
              <w:snapToGrid w:val="0"/>
              <w:spacing w:line="264" w:lineRule="auto"/>
              <w:rPr>
                <w:rFonts w:hint="eastAsia" w:ascii="宋体" w:hAnsi="宋体"/>
                <w:color w:val="auto"/>
                <w:sz w:val="21"/>
                <w:szCs w:val="21"/>
              </w:rPr>
            </w:pPr>
            <w:r>
              <w:rPr>
                <w:rFonts w:hint="eastAsia" w:ascii="宋体" w:hAnsi="宋体"/>
                <w:color w:val="auto"/>
                <w:sz w:val="21"/>
                <w:szCs w:val="21"/>
              </w:rPr>
              <w:t>提供参选人自2023年1月1日至今同类项目业绩（同类是指家具采购相关业绩），每提供一项同类项目业绩得1分，最高得6分。</w:t>
            </w:r>
          </w:p>
          <w:p>
            <w:pPr>
              <w:widowControl/>
              <w:numPr>
                <w:ilvl w:val="0"/>
                <w:numId w:val="0"/>
              </w:numPr>
              <w:snapToGrid w:val="0"/>
              <w:spacing w:line="264" w:lineRule="auto"/>
              <w:rPr>
                <w:rFonts w:hint="eastAsia" w:ascii="宋体" w:hAnsi="宋体"/>
                <w:color w:val="auto"/>
                <w:sz w:val="21"/>
                <w:szCs w:val="21"/>
              </w:rPr>
            </w:pPr>
            <w:r>
              <w:rPr>
                <w:rFonts w:hint="eastAsia" w:ascii="宋体" w:hAnsi="宋体"/>
                <w:color w:val="auto"/>
                <w:sz w:val="21"/>
                <w:szCs w:val="21"/>
              </w:rPr>
              <w:t>注：以合同签订时间为准，与同一用户单位签订的多份同类项目业绩不累计计分。需附上合同关键页作为证明材料（含签订合同双方的单位名称、合同项目名称、合同金额、签订合同双方的落款盖章、签订日期等关键页）。</w:t>
            </w:r>
          </w:p>
        </w:tc>
        <w:tc>
          <w:tcPr>
            <w:tcW w:w="412" w:type="pct"/>
            <w:tcBorders>
              <w:right w:val="single" w:color="auto" w:sz="12" w:space="0"/>
            </w:tcBorders>
            <w:noWrap w:val="0"/>
            <w:vAlign w:val="center"/>
          </w:tcPr>
          <w:p>
            <w:pPr>
              <w:snapToGrid w:val="0"/>
              <w:spacing w:line="264" w:lineRule="auto"/>
              <w:ind w:left="-78" w:leftChars="-37" w:right="-73" w:rightChars="-35"/>
              <w:jc w:val="center"/>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6分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8" w:type="dxa"/>
            <w:left w:w="108" w:type="dxa"/>
            <w:bottom w:w="28" w:type="dxa"/>
            <w:right w:w="108" w:type="dxa"/>
          </w:tblCellMar>
        </w:tblPrEx>
        <w:trPr>
          <w:trHeight w:val="861" w:hRule="atLeast"/>
        </w:trPr>
        <w:tc>
          <w:tcPr>
            <w:tcW w:w="433" w:type="pct"/>
            <w:tcBorders>
              <w:top w:val="single" w:color="auto" w:sz="4" w:space="0"/>
              <w:left w:val="single" w:color="auto" w:sz="12" w:space="0"/>
              <w:bottom w:val="single" w:color="auto" w:sz="4" w:space="0"/>
            </w:tcBorders>
            <w:noWrap w:val="0"/>
            <w:vAlign w:val="center"/>
          </w:tcPr>
          <w:p>
            <w:pPr>
              <w:pStyle w:val="6"/>
              <w:widowControl w:val="0"/>
              <w:numPr>
                <w:ilvl w:val="0"/>
                <w:numId w:val="0"/>
              </w:numPr>
              <w:snapToGrid w:val="0"/>
              <w:spacing w:line="264" w:lineRule="auto"/>
              <w:ind w:firstLine="210" w:firstLineChars="100"/>
              <w:jc w:val="both"/>
              <w:rPr>
                <w:rFonts w:hint="default" w:ascii="宋体" w:hAnsi="宋体"/>
                <w:color w:val="auto"/>
                <w:sz w:val="21"/>
                <w:szCs w:val="21"/>
                <w:lang w:val="en-US" w:eastAsia="zh-CN"/>
              </w:rPr>
            </w:pPr>
            <w:r>
              <w:rPr>
                <w:rFonts w:hint="eastAsia" w:ascii="宋体" w:hAnsi="宋体"/>
                <w:color w:val="auto"/>
                <w:sz w:val="21"/>
                <w:szCs w:val="21"/>
                <w:lang w:val="en-US" w:eastAsia="zh-CN"/>
              </w:rPr>
              <w:t>3</w:t>
            </w:r>
          </w:p>
        </w:tc>
        <w:tc>
          <w:tcPr>
            <w:tcW w:w="578" w:type="pct"/>
            <w:noWrap w:val="0"/>
            <w:vAlign w:val="center"/>
          </w:tcPr>
          <w:p>
            <w:pPr>
              <w:snapToGrid w:val="0"/>
              <w:spacing w:line="264" w:lineRule="auto"/>
              <w:jc w:val="center"/>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用户评价</w:t>
            </w:r>
          </w:p>
        </w:tc>
        <w:tc>
          <w:tcPr>
            <w:tcW w:w="3576" w:type="pct"/>
            <w:noWrap w:val="0"/>
            <w:vAlign w:val="center"/>
          </w:tcPr>
          <w:p>
            <w:pPr>
              <w:widowControl/>
              <w:snapToGrid w:val="0"/>
              <w:spacing w:line="264" w:lineRule="auto"/>
              <w:rPr>
                <w:rFonts w:hint="eastAsia" w:ascii="宋体" w:hAnsi="宋体" w:cs="宋体"/>
                <w:color w:val="auto"/>
                <w:sz w:val="21"/>
                <w:szCs w:val="21"/>
              </w:rPr>
            </w:pPr>
            <w:r>
              <w:rPr>
                <w:rFonts w:hint="eastAsia" w:ascii="宋体" w:hAnsi="宋体" w:cs="宋体"/>
                <w:color w:val="auto"/>
                <w:sz w:val="21"/>
                <w:szCs w:val="21"/>
              </w:rPr>
              <w:t>参选人提供符合上述要求的2023年1月1日至今的同类项目经验的用户单位出具的满意度评价，评价情况至少须为“满意”、“优秀”、“90分”或类似好评的方可计分：每提供一项得2分，本项最高6分。</w:t>
            </w:r>
          </w:p>
          <w:p>
            <w:pPr>
              <w:widowControl/>
              <w:snapToGrid w:val="0"/>
              <w:spacing w:line="264" w:lineRule="auto"/>
              <w:rPr>
                <w:rFonts w:hint="eastAsia" w:ascii="宋体" w:hAnsi="宋体" w:cs="宋体"/>
                <w:color w:val="auto"/>
                <w:sz w:val="21"/>
                <w:szCs w:val="21"/>
              </w:rPr>
            </w:pPr>
            <w:r>
              <w:rPr>
                <w:rFonts w:hint="eastAsia" w:ascii="宋体" w:hAnsi="宋体" w:cs="宋体"/>
                <w:color w:val="auto"/>
                <w:sz w:val="21"/>
                <w:szCs w:val="21"/>
              </w:rPr>
              <w:t>注： ①同一客户或同一项目提供多项用户满意度评价的，按一项计算； ②须与参选人上述提供的2023年1月1日至今的同类项目经验的用户单位一致； ③用户满意度评价须经用户单位盖章，评价情况至少须为满意或类似好评的方可计分。</w:t>
            </w:r>
          </w:p>
        </w:tc>
        <w:tc>
          <w:tcPr>
            <w:tcW w:w="412" w:type="pct"/>
            <w:tcBorders>
              <w:right w:val="single" w:color="auto" w:sz="12" w:space="0"/>
            </w:tcBorders>
            <w:noWrap w:val="0"/>
            <w:vAlign w:val="center"/>
          </w:tcPr>
          <w:p>
            <w:pPr>
              <w:snapToGrid w:val="0"/>
              <w:spacing w:line="264" w:lineRule="auto"/>
              <w:ind w:left="-78" w:leftChars="-37" w:right="-73" w:rightChars="-35"/>
              <w:jc w:val="center"/>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6分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8" w:type="dxa"/>
            <w:left w:w="108" w:type="dxa"/>
            <w:bottom w:w="28" w:type="dxa"/>
            <w:right w:w="108" w:type="dxa"/>
          </w:tblCellMar>
        </w:tblPrEx>
        <w:trPr>
          <w:trHeight w:val="861" w:hRule="atLeast"/>
        </w:trPr>
        <w:tc>
          <w:tcPr>
            <w:tcW w:w="433" w:type="pct"/>
            <w:tcBorders>
              <w:top w:val="single" w:color="auto" w:sz="4" w:space="0"/>
              <w:left w:val="single" w:color="auto" w:sz="12" w:space="0"/>
              <w:bottom w:val="single" w:color="auto" w:sz="4" w:space="0"/>
            </w:tcBorders>
            <w:noWrap w:val="0"/>
            <w:vAlign w:val="center"/>
          </w:tcPr>
          <w:p>
            <w:pPr>
              <w:pStyle w:val="6"/>
              <w:widowControl w:val="0"/>
              <w:numPr>
                <w:ilvl w:val="0"/>
                <w:numId w:val="0"/>
              </w:numPr>
              <w:snapToGrid w:val="0"/>
              <w:spacing w:line="264" w:lineRule="auto"/>
              <w:ind w:left="0" w:leftChars="0" w:firstLine="210" w:firstLineChars="100"/>
              <w:jc w:val="both"/>
              <w:rPr>
                <w:rFonts w:hint="eastAsia" w:ascii="宋体" w:hAnsi="宋体"/>
                <w:color w:val="auto"/>
                <w:sz w:val="21"/>
                <w:szCs w:val="21"/>
                <w:lang w:val="en-US" w:eastAsia="zh-CN"/>
              </w:rPr>
            </w:pPr>
            <w:r>
              <w:rPr>
                <w:rFonts w:hint="eastAsia" w:ascii="宋体" w:hAnsi="宋体"/>
                <w:color w:val="auto"/>
                <w:sz w:val="21"/>
                <w:szCs w:val="21"/>
                <w:lang w:val="en-US" w:eastAsia="zh-CN"/>
              </w:rPr>
              <w:t>4</w:t>
            </w:r>
          </w:p>
        </w:tc>
        <w:tc>
          <w:tcPr>
            <w:tcW w:w="578" w:type="pct"/>
            <w:noWrap w:val="0"/>
            <w:vAlign w:val="center"/>
          </w:tcPr>
          <w:p>
            <w:pPr>
              <w:snapToGrid w:val="0"/>
              <w:spacing w:line="264" w:lineRule="auto"/>
              <w:jc w:val="center"/>
              <w:rPr>
                <w:rFonts w:hint="default" w:ascii="宋体" w:hAnsi="宋体" w:eastAsia="宋体" w:cs="宋体"/>
                <w:color w:val="auto"/>
                <w:sz w:val="21"/>
                <w:szCs w:val="21"/>
                <w:lang w:val="en-US" w:eastAsia="zh-CN"/>
              </w:rPr>
            </w:pPr>
            <w:r>
              <w:rPr>
                <w:rFonts w:hint="default" w:ascii="宋体" w:hAnsi="宋体" w:eastAsia="宋体" w:cs="宋体"/>
                <w:color w:val="auto"/>
                <w:sz w:val="21"/>
                <w:szCs w:val="21"/>
                <w:lang w:val="en-US" w:eastAsia="zh-CN"/>
              </w:rPr>
              <w:t>售后服务</w:t>
            </w:r>
          </w:p>
        </w:tc>
        <w:tc>
          <w:tcPr>
            <w:tcW w:w="3576" w:type="pct"/>
            <w:noWrap w:val="0"/>
            <w:vAlign w:val="center"/>
          </w:tcPr>
          <w:p>
            <w:pPr>
              <w:widowControl/>
              <w:snapToGrid w:val="0"/>
              <w:spacing w:line="264" w:lineRule="auto"/>
              <w:rPr>
                <w:rFonts w:hint="eastAsia" w:ascii="宋体" w:hAnsi="宋体"/>
                <w:color w:val="auto"/>
                <w:sz w:val="21"/>
                <w:szCs w:val="21"/>
              </w:rPr>
            </w:pPr>
            <w:r>
              <w:rPr>
                <w:rFonts w:hint="eastAsia" w:ascii="宋体" w:hAnsi="宋体"/>
                <w:color w:val="auto"/>
                <w:sz w:val="21"/>
                <w:szCs w:val="21"/>
              </w:rPr>
              <w:t>参选人针对本项目需求拟提供的售后服务方案进行综合评价：</w:t>
            </w:r>
          </w:p>
          <w:p>
            <w:pPr>
              <w:widowControl/>
              <w:snapToGrid w:val="0"/>
              <w:spacing w:line="264" w:lineRule="auto"/>
              <w:rPr>
                <w:rFonts w:hint="eastAsia" w:ascii="宋体" w:hAnsi="宋体"/>
                <w:color w:val="auto"/>
                <w:sz w:val="21"/>
                <w:szCs w:val="21"/>
              </w:rPr>
            </w:pPr>
            <w:r>
              <w:rPr>
                <w:rFonts w:hint="eastAsia" w:ascii="宋体" w:hAnsi="宋体"/>
                <w:color w:val="auto"/>
                <w:sz w:val="21"/>
                <w:szCs w:val="21"/>
              </w:rPr>
              <w:t xml:space="preserve">1.售后方案完全满足用户需求，方案全面、科学且能够结合项目特点的，得10分。 </w:t>
            </w:r>
          </w:p>
          <w:p>
            <w:pPr>
              <w:widowControl/>
              <w:snapToGrid w:val="0"/>
              <w:spacing w:line="264" w:lineRule="auto"/>
              <w:rPr>
                <w:rFonts w:hint="eastAsia" w:ascii="宋体" w:hAnsi="宋体"/>
                <w:color w:val="auto"/>
                <w:sz w:val="21"/>
                <w:szCs w:val="21"/>
              </w:rPr>
            </w:pPr>
            <w:r>
              <w:rPr>
                <w:rFonts w:hint="eastAsia" w:ascii="宋体" w:hAnsi="宋体"/>
                <w:color w:val="auto"/>
                <w:sz w:val="21"/>
                <w:szCs w:val="21"/>
              </w:rPr>
              <w:t xml:space="preserve">2.售后方案满足用户需求，方案具有一定的全面性和科学性，具有一定的合理性的，得5分； </w:t>
            </w:r>
          </w:p>
          <w:p>
            <w:pPr>
              <w:widowControl/>
              <w:snapToGrid w:val="0"/>
              <w:spacing w:line="264" w:lineRule="auto"/>
              <w:rPr>
                <w:rFonts w:hint="eastAsia" w:ascii="宋体" w:hAnsi="宋体"/>
                <w:color w:val="auto"/>
                <w:sz w:val="21"/>
                <w:szCs w:val="21"/>
              </w:rPr>
            </w:pPr>
            <w:r>
              <w:rPr>
                <w:rFonts w:hint="eastAsia" w:ascii="宋体" w:hAnsi="宋体"/>
                <w:color w:val="auto"/>
                <w:sz w:val="21"/>
                <w:szCs w:val="21"/>
              </w:rPr>
              <w:t>3.售后方案满足用户需求，部分方案不清晰且可行性欠缺的，得1分；</w:t>
            </w:r>
          </w:p>
          <w:p>
            <w:pPr>
              <w:widowControl/>
              <w:snapToGrid w:val="0"/>
              <w:spacing w:line="264" w:lineRule="auto"/>
              <w:rPr>
                <w:rFonts w:hint="eastAsia" w:ascii="宋体" w:hAnsi="宋体"/>
                <w:color w:val="auto"/>
                <w:sz w:val="21"/>
                <w:szCs w:val="21"/>
              </w:rPr>
            </w:pPr>
            <w:r>
              <w:rPr>
                <w:rFonts w:hint="eastAsia" w:ascii="宋体" w:hAnsi="宋体"/>
                <w:color w:val="auto"/>
                <w:sz w:val="21"/>
                <w:szCs w:val="21"/>
              </w:rPr>
              <w:t>4.部分不满足用户需求，部分方案不具有保障性且不可行的，或不提供的不得分。</w:t>
            </w:r>
          </w:p>
        </w:tc>
        <w:tc>
          <w:tcPr>
            <w:tcW w:w="412" w:type="pct"/>
            <w:tcBorders>
              <w:right w:val="single" w:color="auto" w:sz="12" w:space="0"/>
            </w:tcBorders>
            <w:noWrap w:val="0"/>
            <w:vAlign w:val="center"/>
          </w:tcPr>
          <w:p>
            <w:pPr>
              <w:snapToGrid w:val="0"/>
              <w:spacing w:line="264" w:lineRule="auto"/>
              <w:ind w:left="-78" w:leftChars="-37" w:right="-73" w:rightChars="-35"/>
              <w:jc w:val="center"/>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10</w:t>
            </w:r>
            <w:r>
              <w:rPr>
                <w:rFonts w:hint="eastAsia" w:ascii="宋体" w:hAnsi="宋体" w:cs="宋体"/>
                <w:color w:val="auto"/>
                <w:sz w:val="21"/>
                <w:szCs w:val="21"/>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8" w:type="dxa"/>
            <w:left w:w="108" w:type="dxa"/>
            <w:bottom w:w="28" w:type="dxa"/>
            <w:right w:w="108" w:type="dxa"/>
          </w:tblCellMar>
        </w:tblPrEx>
        <w:trPr>
          <w:trHeight w:val="861" w:hRule="atLeast"/>
        </w:trPr>
        <w:tc>
          <w:tcPr>
            <w:tcW w:w="433" w:type="pct"/>
            <w:tcBorders>
              <w:top w:val="single" w:color="auto" w:sz="4" w:space="0"/>
              <w:left w:val="single" w:color="auto" w:sz="12" w:space="0"/>
              <w:bottom w:val="single" w:color="auto" w:sz="4" w:space="0"/>
            </w:tcBorders>
            <w:noWrap w:val="0"/>
            <w:vAlign w:val="center"/>
          </w:tcPr>
          <w:p>
            <w:pPr>
              <w:pStyle w:val="6"/>
              <w:widowControl w:val="0"/>
              <w:numPr>
                <w:ilvl w:val="0"/>
                <w:numId w:val="0"/>
              </w:numPr>
              <w:snapToGrid w:val="0"/>
              <w:spacing w:line="264" w:lineRule="auto"/>
              <w:ind w:firstLine="210" w:firstLineChars="100"/>
              <w:jc w:val="both"/>
              <w:rPr>
                <w:rFonts w:hint="eastAsia" w:ascii="宋体" w:hAnsi="宋体" w:eastAsia="黑体"/>
                <w:color w:val="auto"/>
                <w:sz w:val="21"/>
                <w:szCs w:val="21"/>
                <w:lang w:val="en-US" w:eastAsia="zh-CN"/>
              </w:rPr>
            </w:pPr>
            <w:r>
              <w:rPr>
                <w:rFonts w:hint="eastAsia" w:ascii="宋体" w:hAnsi="宋体"/>
                <w:color w:val="auto"/>
                <w:sz w:val="21"/>
                <w:szCs w:val="21"/>
                <w:lang w:val="en-US" w:eastAsia="zh-CN"/>
              </w:rPr>
              <w:t>5</w:t>
            </w:r>
          </w:p>
        </w:tc>
        <w:tc>
          <w:tcPr>
            <w:tcW w:w="578" w:type="pct"/>
            <w:noWrap w:val="0"/>
            <w:vAlign w:val="center"/>
          </w:tcPr>
          <w:p>
            <w:pPr>
              <w:snapToGrid w:val="0"/>
              <w:spacing w:line="264" w:lineRule="auto"/>
              <w:jc w:val="center"/>
              <w:rPr>
                <w:rFonts w:hint="default" w:ascii="宋体" w:hAnsi="宋体" w:eastAsia="宋体" w:cs="宋体"/>
                <w:color w:val="auto"/>
                <w:sz w:val="21"/>
                <w:szCs w:val="21"/>
                <w:lang w:val="en-US" w:eastAsia="zh-CN"/>
              </w:rPr>
            </w:pPr>
            <w:r>
              <w:rPr>
                <w:rFonts w:hint="default" w:ascii="宋体" w:hAnsi="宋体" w:eastAsia="宋体" w:cs="宋体"/>
                <w:color w:val="auto"/>
                <w:sz w:val="21"/>
                <w:szCs w:val="21"/>
                <w:lang w:val="en-US" w:eastAsia="zh-CN"/>
              </w:rPr>
              <w:t>管理体系认证</w:t>
            </w:r>
          </w:p>
        </w:tc>
        <w:tc>
          <w:tcPr>
            <w:tcW w:w="3576" w:type="pct"/>
            <w:noWrap w:val="0"/>
            <w:vAlign w:val="center"/>
          </w:tcPr>
          <w:p>
            <w:pPr>
              <w:widowControl/>
              <w:snapToGrid w:val="0"/>
              <w:spacing w:line="264" w:lineRule="auto"/>
              <w:rPr>
                <w:rFonts w:hint="default" w:ascii="宋体" w:hAnsi="宋体" w:eastAsia="宋体"/>
                <w:color w:val="auto"/>
                <w:sz w:val="21"/>
                <w:szCs w:val="21"/>
                <w:lang w:val="en-US" w:eastAsia="zh-CN"/>
              </w:rPr>
            </w:pPr>
            <w:r>
              <w:rPr>
                <w:rFonts w:hint="eastAsia" w:ascii="宋体" w:hAnsi="宋体"/>
                <w:color w:val="auto"/>
                <w:sz w:val="21"/>
                <w:szCs w:val="21"/>
                <w:lang w:val="en-US" w:eastAsia="zh-CN"/>
              </w:rPr>
              <w:t>根据参选人提供的</w:t>
            </w:r>
            <w:r>
              <w:rPr>
                <w:rFonts w:hint="default" w:ascii="宋体" w:hAnsi="宋体" w:eastAsia="宋体" w:cs="宋体"/>
                <w:color w:val="auto"/>
                <w:sz w:val="21"/>
                <w:szCs w:val="21"/>
                <w:lang w:val="en-US" w:eastAsia="zh-CN"/>
              </w:rPr>
              <w:t>管理体系认证</w:t>
            </w:r>
            <w:r>
              <w:rPr>
                <w:rFonts w:hint="eastAsia" w:ascii="宋体" w:hAnsi="宋体" w:cs="宋体"/>
                <w:color w:val="auto"/>
                <w:sz w:val="21"/>
                <w:szCs w:val="21"/>
                <w:lang w:val="en-US" w:eastAsia="zh-CN"/>
              </w:rPr>
              <w:t>进行评审：</w:t>
            </w:r>
          </w:p>
          <w:p>
            <w:pPr>
              <w:widowControl/>
              <w:snapToGrid w:val="0"/>
              <w:spacing w:line="264" w:lineRule="auto"/>
              <w:rPr>
                <w:rFonts w:hint="eastAsia" w:ascii="宋体" w:hAnsi="宋体"/>
                <w:color w:val="auto"/>
                <w:sz w:val="21"/>
                <w:szCs w:val="21"/>
              </w:rPr>
            </w:pPr>
            <w:r>
              <w:rPr>
                <w:rFonts w:hint="eastAsia" w:ascii="宋体" w:hAnsi="宋体"/>
                <w:color w:val="auto"/>
                <w:sz w:val="21"/>
                <w:szCs w:val="21"/>
                <w:lang w:eastAsia="zh-CN"/>
              </w:rPr>
              <w:t>（</w:t>
            </w:r>
            <w:r>
              <w:rPr>
                <w:rFonts w:hint="eastAsia" w:ascii="宋体" w:hAnsi="宋体"/>
                <w:color w:val="auto"/>
                <w:sz w:val="21"/>
                <w:szCs w:val="21"/>
                <w:lang w:val="en-US" w:eastAsia="zh-CN"/>
              </w:rPr>
              <w:t>1</w:t>
            </w:r>
            <w:r>
              <w:rPr>
                <w:rFonts w:hint="eastAsia" w:ascii="宋体" w:hAnsi="宋体"/>
                <w:color w:val="auto"/>
                <w:sz w:val="21"/>
                <w:szCs w:val="21"/>
                <w:lang w:eastAsia="zh-CN"/>
              </w:rPr>
              <w:t>）</w:t>
            </w:r>
            <w:r>
              <w:rPr>
                <w:rFonts w:hint="eastAsia" w:ascii="宋体" w:hAnsi="宋体"/>
                <w:color w:val="auto"/>
                <w:sz w:val="21"/>
                <w:szCs w:val="21"/>
              </w:rPr>
              <w:t xml:space="preserve">具有有效期内的质量管理体系认证证书，得1分；  </w:t>
            </w:r>
          </w:p>
          <w:p>
            <w:pPr>
              <w:widowControl/>
              <w:snapToGrid w:val="0"/>
              <w:spacing w:line="264" w:lineRule="auto"/>
              <w:rPr>
                <w:rFonts w:hint="eastAsia" w:ascii="宋体" w:hAnsi="宋体"/>
                <w:color w:val="auto"/>
                <w:sz w:val="21"/>
                <w:szCs w:val="21"/>
              </w:rPr>
            </w:pPr>
            <w:r>
              <w:rPr>
                <w:rFonts w:hint="eastAsia" w:ascii="宋体" w:hAnsi="宋体"/>
                <w:color w:val="auto"/>
                <w:sz w:val="21"/>
                <w:szCs w:val="21"/>
                <w:lang w:eastAsia="zh-CN"/>
              </w:rPr>
              <w:t>（</w:t>
            </w:r>
            <w:r>
              <w:rPr>
                <w:rFonts w:hint="eastAsia" w:ascii="宋体" w:hAnsi="宋体"/>
                <w:color w:val="auto"/>
                <w:sz w:val="21"/>
                <w:szCs w:val="21"/>
                <w:lang w:val="en-US" w:eastAsia="zh-CN"/>
              </w:rPr>
              <w:t>2</w:t>
            </w:r>
            <w:r>
              <w:rPr>
                <w:rFonts w:hint="eastAsia" w:ascii="宋体" w:hAnsi="宋体"/>
                <w:color w:val="auto"/>
                <w:sz w:val="21"/>
                <w:szCs w:val="21"/>
                <w:lang w:eastAsia="zh-CN"/>
              </w:rPr>
              <w:t>）</w:t>
            </w:r>
            <w:r>
              <w:rPr>
                <w:rFonts w:hint="eastAsia" w:ascii="宋体" w:hAnsi="宋体"/>
                <w:color w:val="auto"/>
                <w:sz w:val="21"/>
                <w:szCs w:val="21"/>
              </w:rPr>
              <w:t xml:space="preserve">具有有效期内的环境管理体系认证证书，得1分；  </w:t>
            </w:r>
          </w:p>
          <w:p>
            <w:pPr>
              <w:widowControl/>
              <w:snapToGrid w:val="0"/>
              <w:spacing w:line="264" w:lineRule="auto"/>
              <w:rPr>
                <w:rFonts w:hint="eastAsia" w:ascii="宋体" w:hAnsi="宋体"/>
                <w:color w:val="auto"/>
                <w:sz w:val="21"/>
                <w:szCs w:val="21"/>
              </w:rPr>
            </w:pPr>
            <w:r>
              <w:rPr>
                <w:rFonts w:hint="eastAsia" w:ascii="宋体" w:hAnsi="宋体"/>
                <w:color w:val="auto"/>
                <w:sz w:val="21"/>
                <w:szCs w:val="21"/>
                <w:lang w:eastAsia="zh-CN"/>
              </w:rPr>
              <w:t>（</w:t>
            </w:r>
            <w:r>
              <w:rPr>
                <w:rFonts w:hint="eastAsia" w:ascii="宋体" w:hAnsi="宋体"/>
                <w:color w:val="auto"/>
                <w:sz w:val="21"/>
                <w:szCs w:val="21"/>
                <w:lang w:val="en-US" w:eastAsia="zh-CN"/>
              </w:rPr>
              <w:t>3</w:t>
            </w:r>
            <w:r>
              <w:rPr>
                <w:rFonts w:hint="eastAsia" w:ascii="宋体" w:hAnsi="宋体"/>
                <w:color w:val="auto"/>
                <w:sz w:val="21"/>
                <w:szCs w:val="21"/>
                <w:lang w:eastAsia="zh-CN"/>
              </w:rPr>
              <w:t>）</w:t>
            </w:r>
            <w:r>
              <w:rPr>
                <w:rFonts w:hint="eastAsia" w:ascii="宋体" w:hAnsi="宋体"/>
                <w:color w:val="auto"/>
                <w:sz w:val="21"/>
                <w:szCs w:val="21"/>
              </w:rPr>
              <w:t xml:space="preserve">具有有效期内的职业健康安全管理体系认证证书，得1分； </w:t>
            </w:r>
          </w:p>
          <w:p>
            <w:pPr>
              <w:widowControl/>
              <w:snapToGrid w:val="0"/>
              <w:spacing w:line="264" w:lineRule="auto"/>
              <w:rPr>
                <w:rFonts w:hint="eastAsia" w:ascii="宋体" w:hAnsi="宋体"/>
                <w:color w:val="auto"/>
                <w:sz w:val="21"/>
                <w:szCs w:val="21"/>
              </w:rPr>
            </w:pPr>
            <w:r>
              <w:rPr>
                <w:rFonts w:hint="eastAsia" w:ascii="宋体" w:hAnsi="宋体"/>
                <w:color w:val="auto"/>
                <w:sz w:val="21"/>
                <w:szCs w:val="21"/>
              </w:rPr>
              <w:t>注：（1）提供有效期内的：①认证证书复印件、②在国家认监委网站（网址：http://www.cnca.gov.cn/）对证书的信息查询截图作为评审依据（以http://www.cnca.gov.cn/网站公布为准，</w:t>
            </w:r>
            <w:r>
              <w:rPr>
                <w:rFonts w:hint="eastAsia" w:ascii="宋体" w:hAnsi="宋体"/>
                <w:color w:val="auto"/>
                <w:sz w:val="21"/>
                <w:szCs w:val="21"/>
                <w:lang w:val="en-US" w:eastAsia="zh-CN"/>
              </w:rPr>
              <w:t>参选人</w:t>
            </w:r>
            <w:r>
              <w:rPr>
                <w:rFonts w:hint="eastAsia" w:ascii="宋体" w:hAnsi="宋体"/>
                <w:color w:val="auto"/>
                <w:sz w:val="21"/>
                <w:szCs w:val="21"/>
              </w:rPr>
              <w:t>可通过网站首页中“互联网+服务—查询服务—认证结果”进行查询），已失效或撤销的不得分，公开信息中无法查询或与公开信息不一致的（如暂停的），</w:t>
            </w:r>
            <w:r>
              <w:rPr>
                <w:rFonts w:hint="eastAsia" w:ascii="宋体" w:hAnsi="宋体"/>
                <w:color w:val="auto"/>
                <w:sz w:val="21"/>
                <w:szCs w:val="21"/>
                <w:lang w:val="en-US" w:eastAsia="zh-CN"/>
              </w:rPr>
              <w:t>参选人</w:t>
            </w:r>
            <w:r>
              <w:rPr>
                <w:rFonts w:hint="eastAsia" w:ascii="宋体" w:hAnsi="宋体"/>
                <w:color w:val="auto"/>
                <w:sz w:val="21"/>
                <w:szCs w:val="21"/>
              </w:rPr>
              <w:t>必须提供发证机构出具的证明函，否则不得分。</w:t>
            </w:r>
          </w:p>
          <w:p>
            <w:pPr>
              <w:widowControl/>
              <w:snapToGrid w:val="0"/>
              <w:spacing w:line="264" w:lineRule="auto"/>
              <w:rPr>
                <w:rFonts w:hint="eastAsia" w:ascii="宋体" w:hAnsi="宋体"/>
                <w:color w:val="auto"/>
                <w:sz w:val="21"/>
                <w:szCs w:val="21"/>
              </w:rPr>
            </w:pPr>
            <w:r>
              <w:rPr>
                <w:rFonts w:hint="eastAsia" w:ascii="宋体" w:hAnsi="宋体"/>
                <w:color w:val="auto"/>
                <w:sz w:val="21"/>
                <w:szCs w:val="21"/>
              </w:rPr>
              <w:t>（2）如因成立时间不满足认证时间要求且办理认证所需要合理时间不足导致未能获得认证证书的，供</w:t>
            </w:r>
            <w:r>
              <w:rPr>
                <w:rFonts w:hint="eastAsia" w:ascii="宋体" w:hAnsi="宋体"/>
                <w:color w:val="auto"/>
                <w:sz w:val="21"/>
                <w:szCs w:val="21"/>
                <w:lang w:val="en-US" w:eastAsia="zh-CN"/>
              </w:rPr>
              <w:t>参选人</w:t>
            </w:r>
            <w:r>
              <w:rPr>
                <w:rFonts w:hint="eastAsia" w:ascii="宋体" w:hAnsi="宋体"/>
                <w:color w:val="auto"/>
                <w:sz w:val="21"/>
                <w:szCs w:val="21"/>
              </w:rPr>
              <w:t>提供说明文件明确以上事项，说明合理且属实的，可对应得分。</w:t>
            </w:r>
          </w:p>
        </w:tc>
        <w:tc>
          <w:tcPr>
            <w:tcW w:w="412" w:type="pct"/>
            <w:tcBorders>
              <w:right w:val="single" w:color="auto" w:sz="12" w:space="0"/>
            </w:tcBorders>
            <w:noWrap w:val="0"/>
            <w:vAlign w:val="center"/>
          </w:tcPr>
          <w:p>
            <w:pPr>
              <w:snapToGrid w:val="0"/>
              <w:spacing w:line="264" w:lineRule="auto"/>
              <w:ind w:left="-78" w:leftChars="-37" w:right="-73" w:rightChars="-35"/>
              <w:jc w:val="center"/>
              <w:rPr>
                <w:rFonts w:ascii="宋体" w:hAnsi="宋体" w:cs="宋体"/>
                <w:color w:val="auto"/>
                <w:sz w:val="21"/>
                <w:szCs w:val="21"/>
              </w:rPr>
            </w:pPr>
            <w:r>
              <w:rPr>
                <w:rFonts w:hint="eastAsia" w:ascii="宋体" w:hAnsi="宋体" w:cs="宋体"/>
                <w:color w:val="auto"/>
                <w:sz w:val="21"/>
                <w:szCs w:val="21"/>
                <w:lang w:val="en-US" w:eastAsia="zh-CN"/>
              </w:rPr>
              <w:t>3</w:t>
            </w:r>
            <w:r>
              <w:rPr>
                <w:rFonts w:hint="eastAsia" w:ascii="宋体" w:hAnsi="宋体" w:cs="宋体"/>
                <w:color w:val="auto"/>
                <w:sz w:val="21"/>
                <w:szCs w:val="21"/>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8" w:type="dxa"/>
            <w:left w:w="108" w:type="dxa"/>
            <w:bottom w:w="28" w:type="dxa"/>
            <w:right w:w="108" w:type="dxa"/>
          </w:tblCellMar>
        </w:tblPrEx>
        <w:trPr>
          <w:trHeight w:val="401" w:hRule="atLeast"/>
        </w:trPr>
        <w:tc>
          <w:tcPr>
            <w:tcW w:w="433" w:type="pct"/>
            <w:tcBorders>
              <w:top w:val="single" w:color="auto" w:sz="4" w:space="0"/>
              <w:left w:val="single" w:color="auto" w:sz="12" w:space="0"/>
            </w:tcBorders>
            <w:noWrap w:val="0"/>
            <w:vAlign w:val="center"/>
          </w:tcPr>
          <w:p>
            <w:pPr>
              <w:widowControl/>
              <w:snapToGrid w:val="0"/>
              <w:spacing w:line="264" w:lineRule="auto"/>
              <w:jc w:val="center"/>
              <w:rPr>
                <w:rFonts w:hint="eastAsia" w:ascii="黑体" w:hAnsi="宋体" w:eastAsia="黑体" w:cs="宋体"/>
                <w:color w:val="auto"/>
                <w:sz w:val="24"/>
                <w:lang w:eastAsia="zh-CN"/>
              </w:rPr>
            </w:pPr>
            <w:r>
              <w:rPr>
                <w:rFonts w:hint="eastAsia" w:ascii="黑体" w:hAnsi="宋体" w:eastAsia="黑体" w:cs="宋体"/>
                <w:color w:val="auto"/>
                <w:sz w:val="24"/>
                <w:lang w:eastAsia="zh-CN"/>
              </w:rPr>
              <w:t>三</w:t>
            </w:r>
          </w:p>
        </w:tc>
        <w:tc>
          <w:tcPr>
            <w:tcW w:w="4566" w:type="pct"/>
            <w:gridSpan w:val="3"/>
            <w:tcBorders>
              <w:right w:val="single" w:color="auto" w:sz="12" w:space="0"/>
            </w:tcBorders>
            <w:noWrap w:val="0"/>
            <w:vAlign w:val="center"/>
          </w:tcPr>
          <w:p>
            <w:pPr>
              <w:widowControl/>
              <w:snapToGrid w:val="0"/>
              <w:spacing w:line="264" w:lineRule="auto"/>
              <w:ind w:left="-78" w:leftChars="-37" w:right="-73" w:rightChars="-35"/>
              <w:jc w:val="center"/>
              <w:rPr>
                <w:rFonts w:ascii="黑体" w:hAnsi="宋体" w:eastAsia="黑体" w:cs="宋体"/>
                <w:color w:val="auto"/>
                <w:sz w:val="24"/>
              </w:rPr>
            </w:pPr>
            <w:r>
              <w:rPr>
                <w:rFonts w:hint="eastAsia" w:ascii="黑体" w:hAnsi="宋体" w:eastAsia="黑体" w:cs="宋体"/>
                <w:color w:val="auto"/>
                <w:sz w:val="24"/>
              </w:rPr>
              <w:t>价格部分</w:t>
            </w:r>
            <w:r>
              <w:rPr>
                <w:rFonts w:hint="eastAsia" w:ascii="黑体" w:hAnsi="宋体" w:eastAsia="黑体" w:cs="宋体"/>
                <w:color w:val="auto"/>
                <w:sz w:val="24"/>
                <w:lang w:eastAsia="zh-CN"/>
              </w:rPr>
              <w:t>（合计</w:t>
            </w:r>
            <w:r>
              <w:rPr>
                <w:rFonts w:hint="eastAsia" w:ascii="黑体" w:hAnsi="宋体" w:eastAsia="黑体" w:cs="宋体"/>
                <w:color w:val="auto"/>
                <w:sz w:val="24"/>
                <w:lang w:val="en-US" w:eastAsia="zh-CN"/>
              </w:rPr>
              <w:t>30分）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8" w:type="dxa"/>
            <w:left w:w="108" w:type="dxa"/>
            <w:bottom w:w="28" w:type="dxa"/>
            <w:right w:w="108" w:type="dxa"/>
          </w:tblCellMar>
        </w:tblPrEx>
        <w:trPr>
          <w:trHeight w:val="520" w:hRule="atLeast"/>
        </w:trPr>
        <w:tc>
          <w:tcPr>
            <w:tcW w:w="433" w:type="pct"/>
            <w:tcBorders>
              <w:left w:val="single" w:color="auto" w:sz="12" w:space="0"/>
            </w:tcBorders>
            <w:noWrap w:val="0"/>
            <w:vAlign w:val="center"/>
          </w:tcPr>
          <w:p>
            <w:pPr>
              <w:snapToGrid w:val="0"/>
              <w:spacing w:line="264" w:lineRule="auto"/>
              <w:jc w:val="center"/>
              <w:rPr>
                <w:rFonts w:ascii="宋体" w:hAnsi="宋体"/>
                <w:color w:val="auto"/>
                <w:sz w:val="21"/>
                <w:szCs w:val="21"/>
              </w:rPr>
            </w:pPr>
            <w:r>
              <w:rPr>
                <w:rFonts w:hint="eastAsia" w:ascii="宋体" w:hAnsi="宋体" w:eastAsia="黑体" w:cs="Times New Roman"/>
                <w:bCs/>
                <w:color w:val="auto"/>
                <w:kern w:val="2"/>
                <w:sz w:val="21"/>
                <w:szCs w:val="21"/>
                <w:lang w:val="en-US" w:eastAsia="zh-CN" w:bidi="ar-SA"/>
              </w:rPr>
              <w:t>1</w:t>
            </w:r>
          </w:p>
        </w:tc>
        <w:tc>
          <w:tcPr>
            <w:tcW w:w="578" w:type="pct"/>
            <w:noWrap w:val="0"/>
            <w:vAlign w:val="center"/>
          </w:tcPr>
          <w:p>
            <w:pPr>
              <w:snapToGrid w:val="0"/>
              <w:spacing w:line="264" w:lineRule="auto"/>
              <w:jc w:val="center"/>
              <w:rPr>
                <w:rFonts w:ascii="宋体" w:hAnsi="宋体"/>
                <w:color w:val="auto"/>
                <w:sz w:val="21"/>
                <w:szCs w:val="21"/>
              </w:rPr>
            </w:pPr>
            <w:r>
              <w:rPr>
                <w:rFonts w:hint="eastAsia" w:ascii="宋体" w:hAnsi="宋体"/>
                <w:color w:val="auto"/>
                <w:sz w:val="21"/>
                <w:szCs w:val="21"/>
              </w:rPr>
              <w:t>价</w:t>
            </w:r>
            <w:r>
              <w:rPr>
                <w:rFonts w:hint="eastAsia" w:ascii="宋体" w:hAnsi="宋体"/>
                <w:color w:val="auto"/>
                <w:sz w:val="21"/>
                <w:szCs w:val="21"/>
                <w:lang w:eastAsia="zh-CN"/>
              </w:rPr>
              <w:t>格</w:t>
            </w:r>
          </w:p>
        </w:tc>
        <w:tc>
          <w:tcPr>
            <w:tcW w:w="3576" w:type="pct"/>
            <w:noWrap w:val="0"/>
            <w:vAlign w:val="center"/>
          </w:tcPr>
          <w:p>
            <w:pPr>
              <w:snapToGrid w:val="0"/>
              <w:spacing w:line="264" w:lineRule="auto"/>
              <w:rPr>
                <w:rFonts w:ascii="宋体" w:hAnsi="宋体" w:cs="宋体"/>
                <w:color w:val="auto"/>
                <w:sz w:val="21"/>
                <w:szCs w:val="21"/>
              </w:rPr>
            </w:pPr>
            <w:r>
              <w:rPr>
                <w:rFonts w:hint="eastAsia" w:ascii="宋体" w:hAnsi="宋体" w:cs="宋体"/>
                <w:color w:val="auto"/>
                <w:sz w:val="21"/>
                <w:szCs w:val="21"/>
                <w:lang w:val="en-US" w:eastAsia="zh-CN"/>
              </w:rPr>
              <w:t>评审</w:t>
            </w:r>
            <w:r>
              <w:rPr>
                <w:rFonts w:hint="eastAsia" w:ascii="宋体" w:hAnsi="宋体" w:cs="宋体"/>
                <w:color w:val="auto"/>
                <w:sz w:val="21"/>
                <w:szCs w:val="21"/>
                <w:lang w:eastAsia="zh-CN"/>
              </w:rPr>
              <w:t>小组对入围的</w:t>
            </w:r>
            <w:r>
              <w:rPr>
                <w:rFonts w:hint="eastAsia" w:ascii="宋体" w:hAnsi="宋体" w:cs="宋体"/>
                <w:color w:val="auto"/>
                <w:sz w:val="21"/>
                <w:szCs w:val="21"/>
                <w:lang w:val="en-US" w:eastAsia="zh-CN"/>
              </w:rPr>
              <w:t>参选人</w:t>
            </w:r>
            <w:r>
              <w:rPr>
                <w:rFonts w:hint="eastAsia" w:ascii="宋体" w:hAnsi="宋体" w:cs="宋体"/>
                <w:color w:val="auto"/>
                <w:sz w:val="21"/>
                <w:szCs w:val="21"/>
                <w:lang w:eastAsia="zh-CN"/>
              </w:rPr>
              <w:t>的最后价格进行修正得出评审价。综合评分法中的价格分统一采用低价优先法计算，即满足</w:t>
            </w:r>
            <w:r>
              <w:rPr>
                <w:rFonts w:hint="eastAsia" w:ascii="宋体" w:hAnsi="宋体" w:cs="宋体"/>
                <w:color w:val="auto"/>
                <w:sz w:val="21"/>
                <w:szCs w:val="21"/>
                <w:lang w:val="en-US" w:eastAsia="zh-CN"/>
              </w:rPr>
              <w:t>采购</w:t>
            </w:r>
            <w:r>
              <w:rPr>
                <w:rFonts w:hint="eastAsia" w:ascii="宋体" w:hAnsi="宋体" w:cs="宋体"/>
                <w:color w:val="auto"/>
                <w:sz w:val="21"/>
                <w:szCs w:val="21"/>
                <w:lang w:eastAsia="zh-CN"/>
              </w:rPr>
              <w:t>文件要求（通过资格、符合性评审）且价格最低的有效最后报价（指修正后的价格，下同）为</w:t>
            </w:r>
            <w:r>
              <w:rPr>
                <w:rFonts w:hint="eastAsia" w:ascii="宋体" w:hAnsi="宋体" w:cs="宋体"/>
                <w:color w:val="auto"/>
                <w:sz w:val="21"/>
                <w:szCs w:val="21"/>
                <w:lang w:val="en-US" w:eastAsia="zh-CN"/>
              </w:rPr>
              <w:t>评审</w:t>
            </w:r>
            <w:r>
              <w:rPr>
                <w:rFonts w:hint="eastAsia" w:ascii="宋体" w:hAnsi="宋体" w:cs="宋体"/>
                <w:color w:val="auto"/>
                <w:sz w:val="21"/>
                <w:szCs w:val="21"/>
                <w:lang w:eastAsia="zh-CN"/>
              </w:rPr>
              <w:t>基准价，其价格分为满分。其他供应商的价格分统一按照下列公式计算</w:t>
            </w:r>
            <w:r>
              <w:rPr>
                <w:rFonts w:hint="eastAsia" w:ascii="宋体" w:hAnsi="宋体" w:cs="宋体"/>
                <w:color w:val="auto"/>
                <w:sz w:val="21"/>
                <w:szCs w:val="21"/>
              </w:rPr>
              <w:t>：</w:t>
            </w:r>
          </w:p>
          <w:p>
            <w:pPr>
              <w:widowControl/>
              <w:snapToGrid w:val="0"/>
              <w:spacing w:line="264" w:lineRule="auto"/>
              <w:ind w:firstLine="316" w:firstLineChars="150"/>
              <w:rPr>
                <w:rFonts w:ascii="宋体" w:hAnsi="宋体"/>
                <w:bCs/>
                <w:color w:val="auto"/>
                <w:sz w:val="21"/>
                <w:szCs w:val="21"/>
              </w:rPr>
            </w:pPr>
            <w:r>
              <w:rPr>
                <w:rFonts w:hint="eastAsia" w:ascii="宋体" w:hAnsi="宋体" w:cs="宋体"/>
                <w:b/>
                <w:color w:val="auto"/>
                <w:sz w:val="21"/>
                <w:szCs w:val="21"/>
                <w:lang w:val="en-US" w:eastAsia="zh-CN"/>
              </w:rPr>
              <w:t>响应</w:t>
            </w:r>
            <w:r>
              <w:rPr>
                <w:rFonts w:hint="eastAsia" w:ascii="宋体" w:hAnsi="宋体" w:cs="宋体"/>
                <w:b/>
                <w:color w:val="auto"/>
                <w:sz w:val="21"/>
                <w:szCs w:val="21"/>
              </w:rPr>
              <w:t>报价得分=(</w:t>
            </w:r>
            <w:r>
              <w:rPr>
                <w:rFonts w:hint="eastAsia" w:ascii="宋体" w:hAnsi="宋体" w:cs="宋体"/>
                <w:color w:val="auto"/>
                <w:sz w:val="21"/>
                <w:szCs w:val="21"/>
                <w:lang w:val="en-US" w:eastAsia="zh-CN"/>
              </w:rPr>
              <w:t>评审</w:t>
            </w:r>
            <w:r>
              <w:rPr>
                <w:rFonts w:hint="eastAsia" w:ascii="宋体" w:hAnsi="宋体" w:cs="宋体"/>
                <w:b/>
                <w:color w:val="auto"/>
                <w:sz w:val="21"/>
                <w:szCs w:val="21"/>
              </w:rPr>
              <w:t>基准价／</w:t>
            </w:r>
            <w:r>
              <w:rPr>
                <w:rFonts w:hint="eastAsia" w:ascii="宋体" w:hAnsi="宋体" w:cs="宋体"/>
                <w:b/>
                <w:color w:val="auto"/>
                <w:sz w:val="21"/>
                <w:szCs w:val="21"/>
                <w:lang w:eastAsia="zh-CN"/>
              </w:rPr>
              <w:t>最后</w:t>
            </w:r>
            <w:r>
              <w:rPr>
                <w:rFonts w:hint="eastAsia" w:ascii="宋体" w:hAnsi="宋体" w:cs="宋体"/>
                <w:b/>
                <w:color w:val="auto"/>
                <w:sz w:val="21"/>
                <w:szCs w:val="21"/>
                <w:lang w:val="en-US" w:eastAsia="zh-CN"/>
              </w:rPr>
              <w:t>响应</w:t>
            </w:r>
            <w:r>
              <w:rPr>
                <w:rFonts w:hint="eastAsia" w:ascii="宋体" w:hAnsi="宋体" w:cs="宋体"/>
                <w:b/>
                <w:color w:val="auto"/>
                <w:sz w:val="21"/>
                <w:szCs w:val="21"/>
              </w:rPr>
              <w:t>报价)×价格权重×100</w:t>
            </w:r>
            <w:r>
              <w:rPr>
                <w:rFonts w:hint="eastAsia" w:ascii="宋体" w:hAnsi="宋体" w:cs="宋体"/>
                <w:b/>
                <w:color w:val="auto"/>
                <w:sz w:val="21"/>
                <w:szCs w:val="21"/>
                <w:lang w:eastAsia="zh-CN"/>
              </w:rPr>
              <w:t>（精确到</w:t>
            </w:r>
            <w:r>
              <w:rPr>
                <w:rFonts w:hint="eastAsia" w:ascii="宋体" w:hAnsi="宋体" w:cs="宋体"/>
                <w:b/>
                <w:color w:val="auto"/>
                <w:sz w:val="21"/>
                <w:szCs w:val="21"/>
                <w:lang w:val="en-US" w:eastAsia="zh-CN"/>
              </w:rPr>
              <w:t>0.01）</w:t>
            </w:r>
            <w:r>
              <w:rPr>
                <w:rFonts w:hint="eastAsia" w:ascii="宋体" w:hAnsi="宋体" w:cs="宋体"/>
                <w:b/>
                <w:color w:val="auto"/>
                <w:sz w:val="21"/>
                <w:szCs w:val="21"/>
              </w:rPr>
              <w:t>。</w:t>
            </w:r>
          </w:p>
        </w:tc>
        <w:tc>
          <w:tcPr>
            <w:tcW w:w="412" w:type="pct"/>
            <w:tcBorders>
              <w:right w:val="single" w:color="auto" w:sz="12" w:space="0"/>
            </w:tcBorders>
            <w:noWrap w:val="0"/>
            <w:vAlign w:val="center"/>
          </w:tcPr>
          <w:p>
            <w:pPr>
              <w:snapToGrid w:val="0"/>
              <w:spacing w:line="264" w:lineRule="auto"/>
              <w:ind w:left="-78" w:leftChars="-37" w:right="-73" w:rightChars="-35"/>
              <w:jc w:val="center"/>
              <w:rPr>
                <w:rFonts w:ascii="宋体" w:hAnsi="宋体" w:cs="宋体"/>
                <w:color w:val="auto"/>
                <w:sz w:val="21"/>
                <w:szCs w:val="21"/>
              </w:rPr>
            </w:pPr>
            <w:r>
              <w:rPr>
                <w:rFonts w:ascii="宋体" w:hAnsi="宋体" w:cs="宋体"/>
                <w:color w:val="auto"/>
                <w:sz w:val="21"/>
                <w:szCs w:val="21"/>
              </w:rPr>
              <w:t xml:space="preserve"> </w:t>
            </w:r>
          </w:p>
          <w:p>
            <w:pPr>
              <w:snapToGrid w:val="0"/>
              <w:spacing w:line="264" w:lineRule="auto"/>
              <w:ind w:left="-78" w:leftChars="-37" w:right="-73" w:rightChars="-35"/>
              <w:jc w:val="center"/>
              <w:rPr>
                <w:rFonts w:ascii="宋体" w:hAnsi="宋体" w:cs="宋体"/>
                <w:color w:val="auto"/>
                <w:sz w:val="21"/>
                <w:szCs w:val="21"/>
              </w:rPr>
            </w:pPr>
            <w:r>
              <w:rPr>
                <w:rFonts w:hint="eastAsia" w:ascii="宋体" w:hAnsi="宋体" w:cs="宋体"/>
                <w:color w:val="auto"/>
                <w:sz w:val="21"/>
                <w:szCs w:val="21"/>
                <w:lang w:val="en-US" w:eastAsia="zh-CN"/>
              </w:rPr>
              <w:t>30</w:t>
            </w:r>
            <w:r>
              <w:rPr>
                <w:rFonts w:hint="eastAsia" w:ascii="宋体" w:hAnsi="宋体" w:cs="宋体"/>
                <w:color w:val="auto"/>
                <w:sz w:val="21"/>
                <w:szCs w:val="21"/>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8" w:type="dxa"/>
            <w:left w:w="108" w:type="dxa"/>
            <w:bottom w:w="28" w:type="dxa"/>
            <w:right w:w="108" w:type="dxa"/>
          </w:tblCellMar>
        </w:tblPrEx>
        <w:trPr>
          <w:trHeight w:val="453" w:hRule="atLeast"/>
        </w:trPr>
        <w:tc>
          <w:tcPr>
            <w:tcW w:w="4587" w:type="pct"/>
            <w:gridSpan w:val="3"/>
            <w:tcBorders>
              <w:left w:val="single" w:color="auto" w:sz="12" w:space="0"/>
              <w:bottom w:val="single" w:color="auto" w:sz="12" w:space="0"/>
            </w:tcBorders>
            <w:noWrap w:val="0"/>
            <w:vAlign w:val="center"/>
          </w:tcPr>
          <w:p>
            <w:pPr>
              <w:snapToGrid w:val="0"/>
              <w:spacing w:line="264" w:lineRule="auto"/>
              <w:ind w:left="-78" w:leftChars="-37" w:right="-73" w:rightChars="-35"/>
              <w:jc w:val="center"/>
              <w:rPr>
                <w:rFonts w:ascii="宋体" w:hAnsi="宋体" w:cs="宋体"/>
                <w:b/>
                <w:color w:val="auto"/>
              </w:rPr>
            </w:pPr>
            <w:r>
              <w:rPr>
                <w:rFonts w:hint="eastAsia" w:ascii="宋体" w:hAnsi="宋体"/>
                <w:b/>
                <w:color w:val="auto"/>
              </w:rPr>
              <w:t>合计</w:t>
            </w:r>
          </w:p>
        </w:tc>
        <w:tc>
          <w:tcPr>
            <w:tcW w:w="412" w:type="pct"/>
            <w:tcBorders>
              <w:bottom w:val="single" w:color="auto" w:sz="12" w:space="0"/>
              <w:right w:val="single" w:color="auto" w:sz="12" w:space="0"/>
            </w:tcBorders>
            <w:noWrap w:val="0"/>
            <w:vAlign w:val="center"/>
          </w:tcPr>
          <w:p>
            <w:pPr>
              <w:snapToGrid w:val="0"/>
              <w:spacing w:line="264" w:lineRule="auto"/>
              <w:ind w:left="-78" w:leftChars="-37" w:right="-73" w:rightChars="-35"/>
              <w:jc w:val="center"/>
              <w:rPr>
                <w:rFonts w:ascii="宋体" w:hAnsi="宋体" w:cs="宋体"/>
                <w:b/>
                <w:color w:val="auto"/>
              </w:rPr>
            </w:pPr>
            <w:r>
              <w:rPr>
                <w:rFonts w:hint="eastAsia" w:ascii="宋体" w:hAnsi="宋体" w:cs="宋体"/>
                <w:b/>
                <w:color w:val="auto"/>
              </w:rPr>
              <w:t>100分</w:t>
            </w:r>
          </w:p>
        </w:tc>
      </w:tr>
    </w:tbl>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E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A86779"/>
    <w:rsid w:val="02971A1F"/>
    <w:rsid w:val="04E56A2C"/>
    <w:rsid w:val="0F104242"/>
    <w:rsid w:val="105273AC"/>
    <w:rsid w:val="11A6098E"/>
    <w:rsid w:val="127F31E6"/>
    <w:rsid w:val="12A76BB6"/>
    <w:rsid w:val="13A86779"/>
    <w:rsid w:val="14534A60"/>
    <w:rsid w:val="15CE3B81"/>
    <w:rsid w:val="160906CE"/>
    <w:rsid w:val="168B3F27"/>
    <w:rsid w:val="1A171566"/>
    <w:rsid w:val="1EB51D82"/>
    <w:rsid w:val="1F103920"/>
    <w:rsid w:val="1F1A4EF4"/>
    <w:rsid w:val="20566342"/>
    <w:rsid w:val="22112D41"/>
    <w:rsid w:val="25C30B01"/>
    <w:rsid w:val="25D65EDB"/>
    <w:rsid w:val="26162FA5"/>
    <w:rsid w:val="26222A03"/>
    <w:rsid w:val="315D3463"/>
    <w:rsid w:val="31774136"/>
    <w:rsid w:val="353C6D9F"/>
    <w:rsid w:val="3AD91B6C"/>
    <w:rsid w:val="3E2442CB"/>
    <w:rsid w:val="3EF15D6A"/>
    <w:rsid w:val="401D37D7"/>
    <w:rsid w:val="44B714FA"/>
    <w:rsid w:val="475A245D"/>
    <w:rsid w:val="491F6136"/>
    <w:rsid w:val="49D52979"/>
    <w:rsid w:val="4B577D0E"/>
    <w:rsid w:val="4D356577"/>
    <w:rsid w:val="4E911429"/>
    <w:rsid w:val="51652EBF"/>
    <w:rsid w:val="5A1E43C2"/>
    <w:rsid w:val="5A245037"/>
    <w:rsid w:val="5BB77C2B"/>
    <w:rsid w:val="5C4B079D"/>
    <w:rsid w:val="5C741B35"/>
    <w:rsid w:val="60AA775F"/>
    <w:rsid w:val="617311B6"/>
    <w:rsid w:val="61BE13AE"/>
    <w:rsid w:val="62D17124"/>
    <w:rsid w:val="656532B8"/>
    <w:rsid w:val="66BD4A52"/>
    <w:rsid w:val="67FB67DD"/>
    <w:rsid w:val="68145E82"/>
    <w:rsid w:val="689B1862"/>
    <w:rsid w:val="6A9441FD"/>
    <w:rsid w:val="6B486512"/>
    <w:rsid w:val="6E4D2ECF"/>
    <w:rsid w:val="6EE937B5"/>
    <w:rsid w:val="6FA171E2"/>
    <w:rsid w:val="72454816"/>
    <w:rsid w:val="73721D0A"/>
    <w:rsid w:val="753F177D"/>
    <w:rsid w:val="77941691"/>
    <w:rsid w:val="78091CE1"/>
    <w:rsid w:val="789007C9"/>
    <w:rsid w:val="7A545AD5"/>
    <w:rsid w:val="7A9456C6"/>
    <w:rsid w:val="7C36314C"/>
    <w:rsid w:val="7DAB1CE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spacing w:line="360" w:lineRule="auto"/>
      <w:jc w:val="center"/>
      <w:outlineLvl w:val="0"/>
    </w:pPr>
    <w:rPr>
      <w:rFonts w:ascii="Arial" w:hAnsi="Arial"/>
      <w:b/>
      <w:bCs/>
      <w:sz w:val="24"/>
      <w:szCs w:val="18"/>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customStyle="1" w:styleId="6">
    <w:name w:val="List Paragraph"/>
    <w:basedOn w:val="1"/>
    <w:qFormat/>
    <w:uiPriority w:val="34"/>
    <w:pPr>
      <w:ind w:firstLine="420" w:firstLineChars="200"/>
    </w:pPr>
    <w:rPr>
      <w:rFonts w:ascii="Times New Roman" w:hAnsi="Times New Roman" w:eastAsia="黑体" w:cs="Times New Roman"/>
      <w:bCs/>
      <w:sz w:val="30"/>
      <w:szCs w:val="30"/>
    </w:rPr>
  </w:style>
  <w:style w:type="paragraph" w:customStyle="1" w:styleId="7">
    <w:name w:val="Table Paragraph"/>
    <w:basedOn w:val="1"/>
    <w:qFormat/>
    <w:uiPriority w:val="1"/>
    <w:pPr>
      <w:autoSpaceDE w:val="0"/>
      <w:autoSpaceDN w:val="0"/>
      <w:adjustRightInd w:val="0"/>
      <w:jc w:val="left"/>
    </w:pPr>
    <w:rPr>
      <w:rFonts w:ascii="仿宋_GB2312" w:hAnsi="仿宋_GB2312" w:eastAsia="仿宋_GB2312" w:cs="仿宋_GB2312"/>
      <w:kern w:val="0"/>
      <w:sz w:val="20"/>
      <w:szCs w:val="20"/>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区卫生和计划生育局</Company>
  <Pages>3</Pages>
  <Words>2216</Words>
  <Characters>2294</Characters>
  <Lines>0</Lines>
  <Paragraphs>0</Paragraphs>
  <TotalTime>1</TotalTime>
  <ScaleCrop>false</ScaleCrop>
  <LinksUpToDate>false</LinksUpToDate>
  <CharactersWithSpaces>2312</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2021-02-26T01:42:00Z</dcterms:created>
  <dc:creator>Administrator</dc:creator>
  <cp:lastModifiedBy>办公室</cp:lastModifiedBy>
  <dcterms:modified xsi:type="dcterms:W3CDTF">2026-08-13T07:16:29Z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KSOTemplateDocerSaveRecord">
    <vt:lpwstr>eyJoZGlkIjoiOTc2OWE0Y2VkN2ZhMjBjMGU5ODljMTIzNmMwYzA4OWYiLCJ1c2VySWQiOiI2NDc4NTcyODAifQ==</vt:lpwstr>
  </property>
  <property fmtid="{D5CDD505-2E9C-101B-9397-08002B2CF9AE}" pid="4" name="ICV">
    <vt:lpwstr>25C1AE8568D34218B226DE3F2CB0AAA5_13</vt:lpwstr>
  </property>
</Properties>
</file>