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50" w:afterLines="50" w:line="360" w:lineRule="auto"/>
        <w:ind w:firstLine="3360" w:firstLineChars="1200"/>
        <w:jc w:val="both"/>
        <w:outlineLvl w:val="2"/>
        <w:rPr>
          <w:rFonts w:ascii="黑体" w:hAnsi="宋体" w:eastAsia="黑体" w:cs="宋体"/>
          <w:color w:val="auto"/>
          <w:sz w:val="28"/>
          <w:szCs w:val="28"/>
          <w:highlight w:val="none"/>
        </w:rPr>
      </w:pPr>
      <w:r>
        <w:rPr>
          <w:rFonts w:hint="eastAsia" w:ascii="黑体" w:hAnsi="宋体" w:eastAsia="黑体" w:cs="宋体"/>
          <w:color w:val="auto"/>
          <w:sz w:val="28"/>
          <w:szCs w:val="28"/>
          <w:highlight w:val="none"/>
        </w:rPr>
        <w:t>综合评分表</w:t>
      </w:r>
    </w:p>
    <w:tbl>
      <w:tblPr>
        <w:tblStyle w:val="4"/>
        <w:tblW w:w="4998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738"/>
        <w:gridCol w:w="985"/>
        <w:gridCol w:w="6094"/>
        <w:gridCol w:w="70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15" w:hRule="atLeast"/>
        </w:trPr>
        <w:tc>
          <w:tcPr>
            <w:tcW w:w="433" w:type="pc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序号</w:t>
            </w:r>
          </w:p>
        </w:tc>
        <w:tc>
          <w:tcPr>
            <w:tcW w:w="578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评审因素</w:t>
            </w:r>
          </w:p>
        </w:tc>
        <w:tc>
          <w:tcPr>
            <w:tcW w:w="3575" w:type="pct"/>
            <w:tcBorders>
              <w:top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评分细则</w:t>
            </w:r>
          </w:p>
        </w:tc>
        <w:tc>
          <w:tcPr>
            <w:tcW w:w="412" w:type="pc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分值（分）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83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jc w:val="center"/>
              <w:rPr>
                <w:rFonts w:ascii="黑体" w:hAnsi="宋体" w:eastAsia="黑体" w:cs="宋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</w:rPr>
              <w:t>一</w:t>
            </w:r>
          </w:p>
        </w:tc>
        <w:tc>
          <w:tcPr>
            <w:tcW w:w="4566" w:type="pct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jc w:val="center"/>
              <w:rPr>
                <w:rFonts w:ascii="黑体" w:hAnsi="宋体" w:eastAsia="黑体" w:cs="宋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</w:rPr>
              <w:t>技术部分(合计</w:t>
            </w: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  <w:lang w:val="en-US" w:eastAsia="zh-CN"/>
              </w:rPr>
              <w:t>55</w:t>
            </w: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</w:rPr>
              <w:t>分)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61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施工</w:t>
            </w:r>
            <w:r>
              <w:rPr>
                <w:rFonts w:hint="eastAsia" w:ascii="宋体" w:hAnsi="宋体"/>
                <w:color w:val="auto"/>
                <w:highlight w:val="none"/>
              </w:rPr>
              <w:t>方案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根据供应商提供的施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工</w:t>
            </w:r>
            <w:r>
              <w:rPr>
                <w:rFonts w:hint="eastAsia" w:ascii="宋体" w:hAnsi="宋体"/>
                <w:color w:val="auto"/>
                <w:highlight w:val="none"/>
              </w:rPr>
              <w:t>方案（包括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人员管理措施，材料设备供应保证措施，施工条件及管理措施</w:t>
            </w:r>
            <w:r>
              <w:rPr>
                <w:rFonts w:hint="eastAsia" w:ascii="宋体" w:hAnsi="宋体"/>
                <w:color w:val="auto"/>
                <w:highlight w:val="none"/>
              </w:rPr>
              <w:t>）进行评审：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1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施工方案清晰可行，人员管理措施针对性强，材料设备供应保证措施完善规范，施工条件及管理措施切合本项目实际情况，完全满足且优于采购需求的，得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15分</w:t>
            </w:r>
            <w:r>
              <w:rPr>
                <w:rFonts w:hint="eastAsia" w:ascii="宋体" w:hAnsi="宋体"/>
                <w:color w:val="auto"/>
                <w:highlight w:val="none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2.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施工方案较清晰可行，人员管理措施针对性强，材料设备供应保证措施较完善规范，施工条件及管理措施较切合本项目实际情况，完全满足采购需求的，得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11分</w:t>
            </w:r>
            <w:r>
              <w:rPr>
                <w:rFonts w:hint="eastAsia" w:ascii="宋体" w:hAnsi="宋体"/>
                <w:color w:val="auto"/>
                <w:highlight w:val="none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3.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施工方案基本清晰可行，人员管理措施有一定针对性，材料设备供应保证措施基本完善规范，施工条件及管理措施基本切合本项目实际情况，基本满足采购需求的，得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7分</w:t>
            </w:r>
            <w:r>
              <w:rPr>
                <w:rFonts w:hint="eastAsia" w:ascii="宋体" w:hAnsi="宋体"/>
                <w:color w:val="auto"/>
                <w:highlight w:val="none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4.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施工方案不够清晰可行，人员管理措施针对性较差，材料设备供应保证措施不够完善规范，施工条件及管理措施不够切合本项目实际情况，部分满足采购需求的，得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4分；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5.不提供不得分。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61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jc w:val="both"/>
              <w:rPr>
                <w:rFonts w:hint="eastAsia" w:ascii="宋体" w:hAnsi="宋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施工组织设计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根据供应商提供的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针对项目特点及采购人的工期建设目标所编制的施工组织设计（包括施工工期，施工时间表及横道图，施工进度安排，施工详细工作计划）</w:t>
            </w:r>
            <w:r>
              <w:rPr>
                <w:rFonts w:hint="eastAsia" w:ascii="宋体" w:hAnsi="宋体"/>
                <w:color w:val="auto"/>
                <w:highlight w:val="none"/>
              </w:rPr>
              <w:t>进行评审：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1.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施工工期能满足磋商文件要求，有完整详细的施工时间表及横道图，施工进度安排合理可行，施工详细工作计划各阶段计划清晰，完全满足且优于采购需求的，得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10分</w:t>
            </w:r>
            <w:r>
              <w:rPr>
                <w:rFonts w:hint="eastAsia" w:ascii="宋体" w:hAnsi="宋体"/>
                <w:color w:val="auto"/>
                <w:highlight w:val="none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2.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施工工期较能满足磋商文件要求，有较完整详细的施工时间表及横道图，施工进度安排较合理可行，施工详细工作计划各阶段计划较清晰，完全满足采购需求的，得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7分</w:t>
            </w:r>
            <w:r>
              <w:rPr>
                <w:rFonts w:hint="eastAsia" w:ascii="宋体" w:hAnsi="宋体"/>
                <w:color w:val="auto"/>
                <w:highlight w:val="none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3.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施工工期基本能满足磋商文件要求，有基本详细的施工时间表及横道图，施工进度安排基本合理可行，施工详细工作计划各阶段计划基本清晰，基本满足采购需求的，得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4分</w:t>
            </w:r>
            <w:r>
              <w:rPr>
                <w:rFonts w:hint="eastAsia" w:ascii="宋体" w:hAnsi="宋体"/>
                <w:color w:val="auto"/>
                <w:highlight w:val="none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4.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施工工期不能很好满足磋商文件要求，施工时间表及横道图不够详细，施工进度安排不够合理可行，施工详细工作计划各阶段计划不够清晰，部分满足采购需求的，得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5.不提供不得分</w:t>
            </w:r>
            <w:r>
              <w:rPr>
                <w:rFonts w:hint="eastAsia" w:ascii="宋体" w:hAnsi="宋体"/>
                <w:color w:val="auto"/>
                <w:highlight w:val="none"/>
              </w:rPr>
              <w:t>。</w:t>
            </w:r>
            <w:bookmarkStart w:id="0" w:name="_GoBack"/>
            <w:bookmarkEnd w:id="0"/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78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工程质量管理方案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根据供应商提供的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工程质量管理方案（包括工程质量事前控制，施工过程的质量控制，工程竣工验收的质量控制等）</w:t>
            </w:r>
            <w:r>
              <w:rPr>
                <w:rFonts w:hint="eastAsia" w:ascii="宋体" w:hAnsi="宋体"/>
                <w:color w:val="auto"/>
                <w:highlight w:val="none"/>
              </w:rPr>
              <w:t>进行评审：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1.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质量控制措施的事前控制措施针对性强，有效性高，过程控制措施细致完整，竣工验收控制措施全面，可行性高，完全满足且优于采购需求的，得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15分</w:t>
            </w:r>
            <w:r>
              <w:rPr>
                <w:rFonts w:hint="eastAsia" w:ascii="宋体" w:hAnsi="宋体"/>
                <w:color w:val="auto"/>
                <w:highlight w:val="none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2.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质量控制措施的事前控制措施针对性比较强，比较有效，过程控制措施比较细致完整，竣工验收控制措施比较全面，可行性比较高，完全满足采购需求的，得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11分</w:t>
            </w:r>
            <w:r>
              <w:rPr>
                <w:rFonts w:hint="eastAsia" w:ascii="宋体" w:hAnsi="宋体"/>
                <w:color w:val="auto"/>
                <w:highlight w:val="none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3.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质量控制措施的事前控制措施针对性比较低，效果不明显，过程控制措施基本完整，竣工验收控制措施基本全面，可行性比较低，基本满足采购需求的，得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7分</w:t>
            </w:r>
            <w:r>
              <w:rPr>
                <w:rFonts w:hint="eastAsia" w:ascii="宋体" w:hAnsi="宋体"/>
                <w:color w:val="auto"/>
                <w:highlight w:val="none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4.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质量控制措施的事前控制措施针对性较差，过程控制措施方案不够合理，竣工验收控制措施不够全面，可行性较差，部分满足采购需求的，得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4分</w:t>
            </w:r>
            <w:r>
              <w:rPr>
                <w:rFonts w:hint="eastAsia" w:ascii="宋体" w:hAnsi="宋体"/>
                <w:color w:val="auto"/>
                <w:highlight w:val="none"/>
              </w:rPr>
              <w:t>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5.不提供不得分</w:t>
            </w:r>
            <w:r>
              <w:rPr>
                <w:rFonts w:hint="eastAsia" w:ascii="宋体" w:hAnsi="宋体"/>
                <w:color w:val="auto"/>
                <w:highlight w:val="none"/>
              </w:rPr>
              <w:t>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78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工程安全管理方案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根据供应商提供的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工程安全管理方案（包括环境保护措施、安全文明措施、应急预案、突发性事件保障措施等）</w:t>
            </w:r>
            <w:r>
              <w:rPr>
                <w:rFonts w:hint="eastAsia" w:ascii="宋体" w:hAnsi="宋体"/>
                <w:color w:val="auto"/>
                <w:highlight w:val="none"/>
              </w:rPr>
              <w:t>进行评审：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1.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环境保护措施有效得当，安全文明措施可实施性高，应急预案全面细致，突发性事件保障措施针对性强，完全满足且优于采购需求的</w:t>
            </w:r>
            <w:r>
              <w:rPr>
                <w:rFonts w:hint="eastAsia" w:ascii="宋体" w:hAnsi="宋体"/>
                <w:color w:val="auto"/>
                <w:highlight w:val="none"/>
              </w:rPr>
              <w:t>，得1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auto"/>
                <w:highlight w:val="none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2.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环境保护措施较有效得当，安全文明措施可实施性较高，应急预案较全面细致，突发性事件保障措施针对性较强，完全满足采购需求的</w:t>
            </w:r>
            <w:r>
              <w:rPr>
                <w:rFonts w:hint="eastAsia" w:ascii="宋体" w:hAnsi="宋体"/>
                <w:color w:val="auto"/>
                <w:highlight w:val="none"/>
              </w:rPr>
              <w:t>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highlight w:val="none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3.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环境保护措施基本有效得当，安全文明措施有一定可实施性，应急预案基本全面细致，突发性事件保障措施有一定针对性，基本满足采购需求的</w:t>
            </w:r>
            <w:r>
              <w:rPr>
                <w:rFonts w:hint="eastAsia" w:ascii="宋体" w:hAnsi="宋体"/>
                <w:color w:val="auto"/>
                <w:highlight w:val="none"/>
              </w:rPr>
              <w:t>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highlight w:val="none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4.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环撞保护措施不够有效，安全文明措施实施性较差，应急预案不够全面细致，突发性事件保障措施不够有针对性，部分满足采购需求的，得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/>
                <w:color w:val="auto"/>
                <w:highlight w:val="none"/>
              </w:rPr>
              <w:t>不提供不得分。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61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质保期限服务方案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根据供应商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针对对本项目</w:t>
            </w:r>
            <w:r>
              <w:rPr>
                <w:rFonts w:hint="eastAsia" w:ascii="宋体" w:hAnsi="宋体"/>
                <w:color w:val="auto"/>
                <w:highlight w:val="none"/>
              </w:rPr>
              <w:t>提供的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质保期服务</w:t>
            </w:r>
            <w:r>
              <w:rPr>
                <w:rFonts w:hint="eastAsia" w:ascii="宋体" w:hAnsi="宋体"/>
                <w:color w:val="auto"/>
                <w:highlight w:val="none"/>
              </w:rPr>
              <w:t>方案（包括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质保期各阶段服务计划、质保期服务、维护保养期服务等</w:t>
            </w:r>
            <w:r>
              <w:rPr>
                <w:rFonts w:hint="eastAsia" w:ascii="宋体" w:hAnsi="宋体"/>
                <w:color w:val="auto"/>
                <w:highlight w:val="none"/>
              </w:rPr>
              <w:t>）进行评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/>
                <w:color w:val="auto"/>
                <w:highlight w:val="none"/>
              </w:rPr>
              <w:t>：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1.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工程质保期服务方案各阶段服务计划安排合理、质保期服务、维护保养期服务非常完善，完全满足且优于采购需求的</w:t>
            </w:r>
            <w:r>
              <w:rPr>
                <w:rFonts w:hint="eastAsia" w:ascii="宋体" w:hAnsi="宋体"/>
                <w:color w:val="auto"/>
                <w:highlight w:val="none"/>
              </w:rPr>
              <w:t>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auto"/>
                <w:highlight w:val="none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2.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工程质保期服务方案各阶段服务计划安排较合理、质保期服务、维护保养期服务比较完善，完全满足采购需求的</w:t>
            </w:r>
            <w:r>
              <w:rPr>
                <w:rFonts w:hint="eastAsia" w:ascii="宋体" w:hAnsi="宋体"/>
                <w:color w:val="auto"/>
                <w:highlight w:val="none"/>
              </w:rPr>
              <w:t>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highlight w:val="none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3.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工程质保期服务方案各阶段服务计划安排基本合理、质保期服务、维护保养期服务基本完善，基本满足采购需求的</w:t>
            </w:r>
            <w:r>
              <w:rPr>
                <w:rFonts w:hint="eastAsia" w:ascii="宋体" w:hAnsi="宋体"/>
                <w:color w:val="auto"/>
                <w:highlight w:val="none"/>
              </w:rPr>
              <w:t>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  <w:highlight w:val="none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4.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工程质保期服务方案各阶段服务计划安排不够合理、质保期服务、维护保养期服务不够完善，部分满足采购需求的</w:t>
            </w:r>
            <w:r>
              <w:rPr>
                <w:rFonts w:hint="eastAsia" w:ascii="宋体" w:hAnsi="宋体"/>
                <w:color w:val="auto"/>
                <w:highlight w:val="none"/>
              </w:rPr>
              <w:t>，得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highlight w:val="none"/>
              </w:rPr>
              <w:t>分；</w:t>
            </w:r>
          </w:p>
          <w:p>
            <w:p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5.</w:t>
            </w:r>
            <w:r>
              <w:rPr>
                <w:rFonts w:hint="eastAsia" w:ascii="宋体" w:hAnsi="宋体"/>
                <w:color w:val="auto"/>
                <w:highlight w:val="none"/>
              </w:rPr>
              <w:t>不提供不得分。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77" w:hRule="atLeast"/>
        </w:trPr>
        <w:tc>
          <w:tcPr>
            <w:tcW w:w="433" w:type="pct"/>
            <w:tcBorders>
              <w:top w:val="single" w:color="auto" w:sz="4" w:space="0"/>
              <w:lef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jc w:val="center"/>
              <w:rPr>
                <w:rFonts w:ascii="黑体" w:hAnsi="宋体" w:eastAsia="黑体" w:cs="宋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</w:rPr>
              <w:t>二</w:t>
            </w:r>
          </w:p>
        </w:tc>
        <w:tc>
          <w:tcPr>
            <w:tcW w:w="4566" w:type="pct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黑体" w:hAnsi="宋体" w:eastAsia="黑体" w:cs="宋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</w:rPr>
              <w:t>商务部分(合计</w:t>
            </w: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</w:rPr>
              <w:t>分)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" w:hRule="atLeast"/>
        </w:trPr>
        <w:tc>
          <w:tcPr>
            <w:tcW w:w="433" w:type="pct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ind w:right="-88" w:rightChars="-42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同类项目</w:t>
            </w:r>
          </w:p>
          <w:p>
            <w:pPr>
              <w:snapToGrid w:val="0"/>
              <w:spacing w:line="264" w:lineRule="auto"/>
              <w:ind w:right="-88" w:rightChars="-42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业绩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情况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ind w:left="40" w:leftChars="19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根据供应</w:t>
            </w:r>
            <w:r>
              <w:rPr>
                <w:rFonts w:hint="eastAsia" w:ascii="宋体" w:hAnsi="宋体"/>
                <w:color w:val="auto"/>
                <w:highlight w:val="none"/>
              </w:rPr>
              <w:t>商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2023</w:t>
            </w:r>
            <w:r>
              <w:rPr>
                <w:rFonts w:hint="eastAsia" w:ascii="宋体" w:hAnsi="宋体"/>
                <w:color w:val="auto"/>
                <w:highlight w:val="none"/>
              </w:rPr>
              <w:t>年1月1日起至提交响应文件截止之日，完成过质量合格的装修或修缮类工程业绩，每提供一项得2分，本小项最高得10分；</w:t>
            </w:r>
          </w:p>
          <w:p>
            <w:pPr>
              <w:snapToGrid w:val="0"/>
              <w:spacing w:line="264" w:lineRule="auto"/>
              <w:ind w:left="40" w:leftChars="19" w:right="-88" w:rightChars="-42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注：须提供合同关键页（须体现工作内容包括装修或修缮工程）复印件加盖供应商公章，否则不得分。需提供项目上施工合同、竣工验收报告复印件。完成时间以竣工验收文件为准，验收文件至少具有建设单位、施工单位</w:t>
            </w:r>
            <w:r>
              <w:rPr>
                <w:rFonts w:hint="eastAsia" w:ascii="宋体" w:hAnsi="宋体"/>
                <w:color w:val="auto"/>
                <w:highlight w:val="none"/>
              </w:rPr>
              <w:t>盖章。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61" w:hRule="atLeast"/>
        </w:trPr>
        <w:tc>
          <w:tcPr>
            <w:tcW w:w="43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</w:pPr>
            <w:r>
              <w:rPr>
                <w:color w:val="auto"/>
                <w:highlight w:val="none"/>
              </w:rPr>
              <w:t xml:space="preserve">用户评价 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2023</w:t>
            </w:r>
            <w:r>
              <w:rPr>
                <w:color w:val="auto"/>
                <w:highlight w:val="none"/>
              </w:rPr>
              <w:t>年1月1日以来的用户评价材料，获得项目用户考核正面评价（优秀、优良、良好、满意或达到90分以上相当于正面评价）且评价文件须体现评价单位及联系方式（如评价文件无体现的，则供应商须另外提供评价单位及联系方式）。每提供一份得1分，最高得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4</w:t>
            </w:r>
            <w:r>
              <w:rPr>
                <w:color w:val="auto"/>
                <w:highlight w:val="none"/>
              </w:rPr>
              <w:t>分。 注：响应供应商应提供业主服务评价文件扫描件（上面需有合同采购人或采购人项目主管部门的印章）并加盖响应供应商公章，不提供不得分。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4分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861" w:hRule="atLeast"/>
        </w:trPr>
        <w:tc>
          <w:tcPr>
            <w:tcW w:w="43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numPr>
                <w:ilvl w:val="0"/>
                <w:numId w:val="0"/>
              </w:numPr>
              <w:snapToGrid w:val="0"/>
              <w:spacing w:line="264" w:lineRule="auto"/>
              <w:ind w:firstLine="240" w:firstLineChars="100"/>
              <w:jc w:val="both"/>
              <w:rPr>
                <w:rFonts w:hint="eastAsia" w:ascii="宋体" w:hAnsi="宋体" w:eastAsia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拟投入项目人员情况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1.项目负责人（本项最高8分）：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具有</w:t>
            </w:r>
            <w:r>
              <w:rPr>
                <w:color w:val="auto"/>
                <w:highlight w:val="none"/>
              </w:rPr>
              <w:t>建筑工程相关专业职称</w:t>
            </w:r>
            <w:r>
              <w:rPr>
                <w:rFonts w:hint="eastAsia"/>
                <w:color w:val="auto"/>
                <w:highlight w:val="none"/>
              </w:rPr>
              <w:t>，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高级（或以上）工程师，得4分；</w:t>
            </w:r>
            <w:r>
              <w:rPr>
                <w:color w:val="auto"/>
                <w:highlight w:val="none"/>
              </w:rPr>
              <w:t>中级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工程师</w:t>
            </w:r>
            <w:r>
              <w:rPr>
                <w:color w:val="auto"/>
                <w:highlight w:val="none"/>
              </w:rPr>
              <w:t>得</w:t>
            </w:r>
            <w:r>
              <w:rPr>
                <w:rFonts w:hint="eastAsia"/>
                <w:color w:val="auto"/>
                <w:highlight w:val="none"/>
              </w:rPr>
              <w:t>2</w:t>
            </w:r>
            <w:r>
              <w:rPr>
                <w:color w:val="auto"/>
                <w:highlight w:val="none"/>
              </w:rPr>
              <w:t>分</w:t>
            </w:r>
            <w:r>
              <w:rPr>
                <w:rFonts w:hint="eastAsia"/>
                <w:color w:val="auto"/>
                <w:highlight w:val="none"/>
              </w:rPr>
              <w:t>；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其他情况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不得分；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自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2023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年1月1日至投标截止时间止，担任项目负责人完成过质量合格的装修或修缮类工程的，每项得2分，本项最高得4分。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提供体现项目负责人名称的合同或验收报告作为证明材料，不提供不得分。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eastAsia="zh-CN"/>
              </w:rPr>
              <w:t>）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2.专职安全员（本项最高4分）：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具有建筑工程相关专业职称，中级（或以上）工程师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的，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得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分；其他不得分；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自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2023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年1月1日至投标截止时间止，担任项目专职安全员完成过质量合格的装修或修缮类工程的，每项得1分，本项最高得2分。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val="en-US" w:eastAsia="zh-CN"/>
              </w:rPr>
              <w:t>提供体现专职安全员名称的合同或验收报告作为证明材料，不提供不得分。</w:t>
            </w:r>
            <w:r>
              <w:rPr>
                <w:rFonts w:hint="eastAsia" w:ascii="宋体" w:hAnsi="宋体" w:cs="宋体"/>
                <w:b/>
                <w:bCs/>
                <w:color w:val="auto"/>
                <w:highlight w:val="none"/>
                <w:lang w:eastAsia="zh-CN"/>
              </w:rPr>
              <w:t>）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注：专职安全员不可由项目负责人兼任。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3.其他专业人员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除项目负责人、专职安全员外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（本项最高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分）：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①具有质量员培训合格证书，得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②具有资料员培训合格证书，得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③具有材料员培训合格证书，得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</w:rPr>
              <w:t>④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具有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施工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员培训合格证书，得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分；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同一人具备多个证书不重复计分，同一类证书只计取一次分值。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备注：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 xml:space="preserve">1.证书按以下要求提供： </w:t>
            </w:r>
          </w:p>
          <w:p>
            <w:pPr>
              <w:widowControl/>
              <w:snapToGrid w:val="0"/>
              <w:spacing w:line="264" w:lineRule="auto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（1）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第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1-2项须同时提供： ①提供证书复印件（或扫描件或电子证书）。 ②提供官网证书查验截图（访问www.12333.gov.cn网页，进入“在线服务”的“人才人事”板块使用职称查询平台。如实行全国统一考试的初级、中级专业职称，职称信息可通过“中国人事考试网-全国专业技术人员职业资格证书查询验证”网站（http://www.cpta.com.cn/certQuery.html）查询）。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不提供或资料不全不得分。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第3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项须提供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提供培训合格证书复印件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不提供或资料不全不得分。</w:t>
            </w:r>
          </w:p>
          <w:p>
            <w:pPr>
              <w:widowControl/>
              <w:snapToGrid w:val="0"/>
              <w:spacing w:line="264" w:lineRule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2.投入人员须为本企业员工，提供由社保主管部门出具的响应截止时间前6个月以来任意一个月供应商（含分支机构）为相关人员缴纳的社保证明复印件（代缴个税税单，或参加社会保险（须至少体现养老保险）的《投保单》等证明均可），不提供者对应项不得分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01" w:hRule="atLeast"/>
        </w:trPr>
        <w:tc>
          <w:tcPr>
            <w:tcW w:w="433" w:type="pct"/>
            <w:tcBorders>
              <w:top w:val="single" w:color="auto" w:sz="4" w:space="0"/>
              <w:lef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jc w:val="center"/>
              <w:rPr>
                <w:rFonts w:hint="eastAsia" w:ascii="黑体" w:hAnsi="宋体" w:eastAsia="黑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  <w:lang w:eastAsia="zh-CN"/>
              </w:rPr>
              <w:t>三</w:t>
            </w:r>
          </w:p>
        </w:tc>
        <w:tc>
          <w:tcPr>
            <w:tcW w:w="4566" w:type="pct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黑体" w:hAnsi="宋体" w:eastAsia="黑体" w:cs="宋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</w:rPr>
              <w:t>价格部分</w:t>
            </w: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  <w:lang w:eastAsia="zh-CN"/>
              </w:rPr>
              <w:t>（合计</w:t>
            </w:r>
            <w:r>
              <w:rPr>
                <w:rFonts w:hint="eastAsia" w:ascii="黑体" w:hAnsi="宋体" w:eastAsia="黑体" w:cs="宋体"/>
                <w:color w:val="auto"/>
                <w:sz w:val="24"/>
                <w:highlight w:val="none"/>
                <w:lang w:val="en-US" w:eastAsia="zh-CN"/>
              </w:rPr>
              <w:t>15分）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520" w:hRule="atLeast"/>
        </w:trPr>
        <w:tc>
          <w:tcPr>
            <w:tcW w:w="433" w:type="pc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 w:eastAsia="黑体" w:cs="Times New Roman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578" w:type="pct"/>
            <w:noWrap w:val="0"/>
            <w:vAlign w:val="center"/>
          </w:tcPr>
          <w:p>
            <w:pPr>
              <w:snapToGrid w:val="0"/>
              <w:spacing w:line="264" w:lineRule="auto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价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格</w:t>
            </w:r>
          </w:p>
        </w:tc>
        <w:tc>
          <w:tcPr>
            <w:tcW w:w="3575" w:type="pct"/>
            <w:noWrap w:val="0"/>
            <w:vAlign w:val="center"/>
          </w:tcPr>
          <w:p>
            <w:pPr>
              <w:snapToGrid w:val="0"/>
              <w:spacing w:line="264" w:lineRule="auto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评审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小组对入围的供应商的最后价格进行修正得出评审价。综合评分法中的价格分统一采用低价优先法计算，即满足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文件要求（通过资格、符合性评审）且价格最低的有效最后报价（指修正后的价格，下同）为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评审</w:t>
            </w: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基准价，其价格分为满分。其他供应商的价格分统一按照下列公式计算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：</w:t>
            </w:r>
          </w:p>
          <w:p>
            <w:pPr>
              <w:widowControl/>
              <w:snapToGrid w:val="0"/>
              <w:spacing w:line="264" w:lineRule="auto"/>
              <w:ind w:firstLine="316" w:firstLineChars="150"/>
              <w:rPr>
                <w:rFonts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  <w:lang w:val="en-US" w:eastAsia="zh-CN"/>
              </w:rPr>
              <w:t>响应</w:t>
            </w: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报价得分=(</w:t>
            </w: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评审</w:t>
            </w: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基准价／</w:t>
            </w:r>
            <w:r>
              <w:rPr>
                <w:rFonts w:hint="eastAsia" w:ascii="宋体" w:hAnsi="宋体" w:cs="宋体"/>
                <w:b/>
                <w:color w:val="auto"/>
                <w:highlight w:val="none"/>
                <w:lang w:eastAsia="zh-CN"/>
              </w:rPr>
              <w:t>最后</w:t>
            </w:r>
            <w:r>
              <w:rPr>
                <w:rFonts w:hint="eastAsia" w:ascii="宋体" w:hAnsi="宋体" w:cs="宋体"/>
                <w:b/>
                <w:color w:val="auto"/>
                <w:highlight w:val="none"/>
                <w:lang w:val="en-US" w:eastAsia="zh-CN"/>
              </w:rPr>
              <w:t>响应</w:t>
            </w: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报价)×价格权重×100</w:t>
            </w:r>
            <w:r>
              <w:rPr>
                <w:rFonts w:hint="eastAsia" w:ascii="宋体" w:hAnsi="宋体" w:cs="宋体"/>
                <w:b/>
                <w:color w:val="auto"/>
                <w:highlight w:val="none"/>
                <w:lang w:eastAsia="zh-CN"/>
              </w:rPr>
              <w:t>（精确到</w:t>
            </w:r>
            <w:r>
              <w:rPr>
                <w:rFonts w:hint="eastAsia" w:ascii="宋体" w:hAnsi="宋体" w:cs="宋体"/>
                <w:b/>
                <w:color w:val="auto"/>
                <w:highlight w:val="none"/>
                <w:lang w:val="en-US" w:eastAsia="zh-CN"/>
              </w:rPr>
              <w:t>0.01）</w:t>
            </w: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。</w:t>
            </w:r>
          </w:p>
        </w:tc>
        <w:tc>
          <w:tcPr>
            <w:tcW w:w="412" w:type="pc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ascii="宋体" w:hAnsi="宋体" w:cs="宋体"/>
                <w:color w:val="auto"/>
                <w:highlight w:val="none"/>
              </w:rPr>
              <w:t xml:space="preserve"> </w:t>
            </w:r>
          </w:p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53" w:hRule="atLeast"/>
        </w:trPr>
        <w:tc>
          <w:tcPr>
            <w:tcW w:w="4587" w:type="pct"/>
            <w:gridSpan w:val="3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highlight w:val="none"/>
              </w:rPr>
              <w:t>合计</w:t>
            </w:r>
          </w:p>
        </w:tc>
        <w:tc>
          <w:tcPr>
            <w:tcW w:w="412" w:type="pct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64" w:lineRule="auto"/>
              <w:ind w:left="-78" w:leftChars="-37" w:right="-73" w:rightChars="-35"/>
              <w:jc w:val="center"/>
              <w:rPr>
                <w:rFonts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100分</w:t>
            </w:r>
          </w:p>
        </w:tc>
      </w:tr>
    </w:tbl>
    <w:p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E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86779"/>
    <w:rsid w:val="02971A1F"/>
    <w:rsid w:val="04E56A2C"/>
    <w:rsid w:val="0F104242"/>
    <w:rsid w:val="105273AC"/>
    <w:rsid w:val="11A6098E"/>
    <w:rsid w:val="127F31E6"/>
    <w:rsid w:val="12A76BB6"/>
    <w:rsid w:val="13A86779"/>
    <w:rsid w:val="14534A60"/>
    <w:rsid w:val="168B3F27"/>
    <w:rsid w:val="1A171566"/>
    <w:rsid w:val="1F1A4EF4"/>
    <w:rsid w:val="20B26FAB"/>
    <w:rsid w:val="22112D41"/>
    <w:rsid w:val="25C30B01"/>
    <w:rsid w:val="25D65EDB"/>
    <w:rsid w:val="26222A03"/>
    <w:rsid w:val="315D3463"/>
    <w:rsid w:val="31774136"/>
    <w:rsid w:val="353C6D9F"/>
    <w:rsid w:val="3AD91B6C"/>
    <w:rsid w:val="3E2442CB"/>
    <w:rsid w:val="401D37D7"/>
    <w:rsid w:val="44B714FA"/>
    <w:rsid w:val="475A245D"/>
    <w:rsid w:val="49D52979"/>
    <w:rsid w:val="4B577D0E"/>
    <w:rsid w:val="4D356577"/>
    <w:rsid w:val="4E911429"/>
    <w:rsid w:val="51652EBF"/>
    <w:rsid w:val="5A1E43C2"/>
    <w:rsid w:val="5A245037"/>
    <w:rsid w:val="5BB77C2B"/>
    <w:rsid w:val="5C4B079D"/>
    <w:rsid w:val="5C741B35"/>
    <w:rsid w:val="60AA775F"/>
    <w:rsid w:val="617311B6"/>
    <w:rsid w:val="61BE13AE"/>
    <w:rsid w:val="62D17124"/>
    <w:rsid w:val="656532B8"/>
    <w:rsid w:val="68145E82"/>
    <w:rsid w:val="689B1862"/>
    <w:rsid w:val="6A9441FD"/>
    <w:rsid w:val="6B486512"/>
    <w:rsid w:val="6E4D2ECF"/>
    <w:rsid w:val="6EE937B5"/>
    <w:rsid w:val="72454816"/>
    <w:rsid w:val="753F177D"/>
    <w:rsid w:val="77941691"/>
    <w:rsid w:val="78091CE1"/>
    <w:rsid w:val="789007C9"/>
    <w:rsid w:val="7A545AD5"/>
    <w:rsid w:val="7A9456C6"/>
    <w:rsid w:val="7C36314C"/>
    <w:rsid w:val="7DAB1C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Arial" w:hAnsi="Arial"/>
      <w:b/>
      <w:bCs/>
      <w:sz w:val="24"/>
      <w:szCs w:val="1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customStyle="1" w:styleId="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黑体" w:cs="Times New Roman"/>
      <w:bCs/>
      <w:sz w:val="30"/>
      <w:szCs w:val="30"/>
    </w:rPr>
  </w:style>
  <w:style w:type="paragraph" w:customStyle="1" w:styleId="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仿宋_GB2312" w:hAnsi="仿宋_GB2312" w:eastAsia="仿宋_GB2312" w:cs="仿宋_GB2312"/>
      <w:kern w:val="0"/>
      <w:sz w:val="20"/>
      <w:szCs w:val="2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区卫生和计划生育局</Company>
  <Pages>4</Pages>
  <Words>3137</Words>
  <Characters>3259</Characters>
  <Lines>0</Lines>
  <Paragraphs>0</Paragraphs>
  <TotalTime>9</TotalTime>
  <ScaleCrop>false</ScaleCrop>
  <LinksUpToDate>false</LinksUpToDate>
  <CharactersWithSpaces>3268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2021-02-26T01:42:00Z</dcterms:created>
  <dc:creator>Administrator</dc:creator>
  <cp:lastModifiedBy>办公室</cp:lastModifiedBy>
  <dcterms:modified xsi:type="dcterms:W3CDTF">2026-08-06T08:29:39Z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KSOTemplateDocerSaveRecord">
    <vt:lpwstr>eyJoZGlkIjoiOTc2OWE0Y2VkN2ZhMjBjMGU5ODljMTIzNmMwYzA4OWYiLCJ1c2VySWQiOiI2NDc4NTcyODAifQ==</vt:lpwstr>
  </property>
  <property fmtid="{D5CDD505-2E9C-101B-9397-08002B2CF9AE}" pid="4" name="ICV">
    <vt:lpwstr>25C1AE8568D34218B226DE3F2CB0AAA5_13</vt:lpwstr>
  </property>
</Properties>
</file>