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5461B">
      <w:pPr>
        <w:spacing w:line="440" w:lineRule="exact"/>
        <w:outlineLvl w:val="1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附件4</w:t>
      </w:r>
    </w:p>
    <w:p w14:paraId="49D64662">
      <w:pPr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评分表</w:t>
      </w:r>
    </w:p>
    <w:tbl>
      <w:tblPr>
        <w:tblStyle w:val="7"/>
        <w:tblW w:w="875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632"/>
        <w:gridCol w:w="800"/>
        <w:gridCol w:w="5654"/>
      </w:tblGrid>
      <w:tr w14:paraId="05B89F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664" w:type="dxa"/>
          </w:tcPr>
          <w:p w14:paraId="611AB655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  <w:p w14:paraId="1FF62A76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评审类别</w:t>
            </w:r>
          </w:p>
        </w:tc>
        <w:tc>
          <w:tcPr>
            <w:tcW w:w="1632" w:type="dxa"/>
            <w:tcBorders>
              <w:left w:val="single" w:color="000000" w:sz="4" w:space="0"/>
              <w:right w:val="single" w:color="000000" w:sz="4" w:space="0"/>
            </w:tcBorders>
          </w:tcPr>
          <w:p w14:paraId="392D15BA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  <w:p w14:paraId="0C82C289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评审项目</w:t>
            </w:r>
          </w:p>
        </w:tc>
        <w:tc>
          <w:tcPr>
            <w:tcW w:w="800" w:type="dxa"/>
            <w:tcBorders>
              <w:left w:val="single" w:color="000000" w:sz="4" w:space="0"/>
              <w:right w:val="single" w:color="000000" w:sz="4" w:space="0"/>
            </w:tcBorders>
          </w:tcPr>
          <w:p w14:paraId="66D7DAF5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评选</w:t>
            </w:r>
          </w:p>
          <w:p w14:paraId="0C5521DC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分值</w:t>
            </w:r>
          </w:p>
          <w:p w14:paraId="3B604222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（分）</w:t>
            </w:r>
          </w:p>
        </w:tc>
        <w:tc>
          <w:tcPr>
            <w:tcW w:w="5654" w:type="dxa"/>
            <w:tcBorders>
              <w:left w:val="single" w:color="000000" w:sz="4" w:space="0"/>
            </w:tcBorders>
          </w:tcPr>
          <w:p w14:paraId="2B3EAA6C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  <w:p w14:paraId="34943C1D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评分标准</w:t>
            </w:r>
          </w:p>
        </w:tc>
      </w:tr>
      <w:tr w14:paraId="036EF8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64" w:type="dxa"/>
            <w:vMerge w:val="restart"/>
          </w:tcPr>
          <w:p w14:paraId="2980FF06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2E191F84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FC24F51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673FBA60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2D6935D1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4891B8B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71EE1322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B7272DB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04F69E4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2B27521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60BA40C3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14D349A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71C10206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037A6E8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14A5F82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技术部分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  <w:p w14:paraId="1B181E10">
            <w:pPr>
              <w:spacing w:line="260" w:lineRule="exact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1632" w:type="dxa"/>
            <w:vAlign w:val="center"/>
          </w:tcPr>
          <w:p w14:paraId="264220F2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追溯期情况</w:t>
            </w:r>
          </w:p>
        </w:tc>
        <w:tc>
          <w:tcPr>
            <w:tcW w:w="800" w:type="dxa"/>
            <w:vAlign w:val="center"/>
          </w:tcPr>
          <w:p w14:paraId="37EC55EF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5</w:t>
            </w:r>
          </w:p>
        </w:tc>
        <w:tc>
          <w:tcPr>
            <w:tcW w:w="5654" w:type="dxa"/>
            <w:vAlign w:val="center"/>
          </w:tcPr>
          <w:p w14:paraId="2BFAF5A5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书面承诺本项目追溯期（保险期间向前追溯）： （1）承诺3年追溯 期的，得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 （2）承诺2年≤年限＜3年追溯期的，得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3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 （3）承诺 1年≤年限＜2年追溯期的，得2分； （4）承诺年限＜1年追溯期的，得1分 ； （5）其他情况不得分。 注：提供承诺函原件加盖公章，无提供不得分。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承保期之前医疗案件发生的期限：</w:t>
            </w:r>
          </w:p>
        </w:tc>
      </w:tr>
      <w:tr w14:paraId="461996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64" w:type="dxa"/>
            <w:vMerge w:val="continue"/>
          </w:tcPr>
          <w:p w14:paraId="37373E12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 w14:paraId="46770694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应急响应能力</w:t>
            </w:r>
          </w:p>
        </w:tc>
        <w:tc>
          <w:tcPr>
            <w:tcW w:w="800" w:type="dxa"/>
            <w:vAlign w:val="center"/>
          </w:tcPr>
          <w:p w14:paraId="1176AE00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15</w:t>
            </w:r>
          </w:p>
        </w:tc>
        <w:tc>
          <w:tcPr>
            <w:tcW w:w="5654" w:type="dxa"/>
            <w:vAlign w:val="center"/>
          </w:tcPr>
          <w:p w14:paraId="140C9E6D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对于紧急情况响应，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需派人到达现场或电话响应。</w:t>
            </w:r>
          </w:p>
          <w:p w14:paraId="108F26D7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作出响应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的时间≤5小时，得15分；</w:t>
            </w:r>
          </w:p>
          <w:p w14:paraId="5DA5D53C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5小时＜响应时间≤12小时，得4分；</w:t>
            </w:r>
          </w:p>
          <w:p w14:paraId="4AAEC367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响应时间&gt;12小时，得0分。</w:t>
            </w:r>
          </w:p>
          <w:p w14:paraId="23EAFFDC">
            <w:pPr>
              <w:pStyle w:val="10"/>
              <w:spacing w:line="260" w:lineRule="exact"/>
              <w:ind w:left="129" w:leftChars="0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注：需提供响应时间的书面承诺，格式自拟，未提供不得分。</w:t>
            </w:r>
          </w:p>
        </w:tc>
      </w:tr>
      <w:tr w14:paraId="356F46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64" w:type="dxa"/>
            <w:vMerge w:val="continue"/>
          </w:tcPr>
          <w:p w14:paraId="4052C7DD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 w14:paraId="04DDE8C3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理赔时效承诺</w:t>
            </w:r>
          </w:p>
        </w:tc>
        <w:tc>
          <w:tcPr>
            <w:tcW w:w="800" w:type="dxa"/>
            <w:vAlign w:val="center"/>
          </w:tcPr>
          <w:p w14:paraId="4D13F0AA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5</w:t>
            </w:r>
          </w:p>
        </w:tc>
        <w:tc>
          <w:tcPr>
            <w:tcW w:w="5654" w:type="dxa"/>
            <w:vAlign w:val="center"/>
          </w:tcPr>
          <w:p w14:paraId="4EB9860B">
            <w:pPr>
              <w:pStyle w:val="10"/>
              <w:spacing w:line="260" w:lineRule="exact"/>
              <w:ind w:left="129" w:leftChars="0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 xml:space="preserve">结案赔付时效承诺的评审，提供承诺（保险责任明确、资料齐全的前 提下）： （1）1万元以下（含1万元）的赔案，3个工作日内作出赔付；承诺3个工作日内赔付得1分，多一天扣0.5分，此项最低扣至0分； （2）1— 5万元（不含1万元，含5万元）的赔案，5个工作日内作出赔付；承诺5个工作日内赔付得1分，多一天扣0.5分，此项最低扣至0分； （3）5—20万元 （不含5万元，含20万元）的赔案，7个工作日内作出赔付；承诺7个工作日内赔付得1分，多一天扣0.5分，此项最低扣至0分； （4）20—30万元（不 含20万元，含30万元）的赔案，10个工作日内作出赔付；承诺10个工作日 内赔付得1分，多一天扣0.5分，此项最低扣至0分； （5）30万元以上（不 含30万元）的赔案在15个工作日内作出赔付。承诺15个工作日内赔付得1分 ，多一天扣0.5分，此项最低扣至0分； 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以上累计最高得5分。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注：请提供承诺函加盖公章，无提供不得分。</w:t>
            </w:r>
          </w:p>
        </w:tc>
      </w:tr>
      <w:tr w14:paraId="77B944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64" w:type="dxa"/>
            <w:vMerge w:val="continue"/>
          </w:tcPr>
          <w:p w14:paraId="137B73BA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 w14:paraId="632A61ED">
            <w:pPr>
              <w:pStyle w:val="10"/>
              <w:spacing w:line="260" w:lineRule="exact"/>
              <w:ind w:left="129" w:leftChars="0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服务人员配置</w:t>
            </w:r>
          </w:p>
        </w:tc>
        <w:tc>
          <w:tcPr>
            <w:tcW w:w="800" w:type="dxa"/>
            <w:vAlign w:val="center"/>
          </w:tcPr>
          <w:p w14:paraId="51BDF832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  <w:p w14:paraId="7C46DCF9">
            <w:pPr>
              <w:pStyle w:val="10"/>
              <w:spacing w:line="260" w:lineRule="exact"/>
              <w:ind w:left="129" w:leftChars="0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10</w:t>
            </w:r>
          </w:p>
        </w:tc>
        <w:tc>
          <w:tcPr>
            <w:tcW w:w="5654" w:type="dxa"/>
            <w:vAlign w:val="center"/>
          </w:tcPr>
          <w:p w14:paraId="7E7E4199">
            <w:pPr>
              <w:pStyle w:val="10"/>
              <w:spacing w:line="260" w:lineRule="exact"/>
              <w:ind w:left="129" w:leftChars="0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服务人员配置方案完善，拟投入本项目服务人员数量≥5人，人员构成科学合理，职责分工明确，管理方案详实，投入医学、保险、法律相关专业背景（大专/大专以上学历；或初级/初级以上职称）的服务人员，满足或优于本项目要求，得10分； （2）方案可行，3≤拟投入本项目服务人员人员数量＜5人，人员构成较合理，投入医学、保险相关专业背景（大专/大专以上学历；或初级/初级以上职称）的服务人员，满足本项目要求，得6分； （3）方案不可行，拟投入本项目服务人员人员数量＜3人，或人员构成不合理，或没有医学相关专业背景的服务人员，得2分。 注：提供上述人员的学历（或资质）及社保证明材料，不提供不得分。</w:t>
            </w:r>
          </w:p>
        </w:tc>
      </w:tr>
      <w:tr w14:paraId="2FF8D3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664" w:type="dxa"/>
            <w:vMerge w:val="continue"/>
          </w:tcPr>
          <w:p w14:paraId="4E50BBE4">
            <w:pPr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7DCA6498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理赔服务方案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D9EC042">
            <w:pPr>
              <w:pStyle w:val="10"/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  <w:p w14:paraId="026962E2">
            <w:pPr>
              <w:pStyle w:val="10"/>
              <w:spacing w:line="260" w:lineRule="exact"/>
              <w:ind w:left="185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10</w:t>
            </w:r>
          </w:p>
        </w:tc>
        <w:tc>
          <w:tcPr>
            <w:tcW w:w="5654" w:type="dxa"/>
            <w:shd w:val="clear" w:color="auto" w:fill="auto"/>
            <w:vAlign w:val="center"/>
          </w:tcPr>
          <w:p w14:paraId="0825424E">
            <w:pPr>
              <w:pStyle w:val="10"/>
              <w:spacing w:line="260" w:lineRule="exact"/>
              <w:ind w:left="185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（1）服务方案全面详尽，服务承诺内容对本项目有实际指导意义，具备完整的质量控制措施及完备的特殊情况处 理措施，可操作性强，得1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0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 xml:space="preserve">分； </w:t>
            </w:r>
          </w:p>
          <w:p w14:paraId="33ED30B3">
            <w:pPr>
              <w:pStyle w:val="10"/>
              <w:spacing w:line="260" w:lineRule="exact"/>
              <w:ind w:left="185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（2）服务方案全面，具备服务承诺、质量 控制措施和特殊情况处理措施，有一定的可操作性，得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7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</w:t>
            </w:r>
          </w:p>
          <w:p w14:paraId="36872CEF">
            <w:pPr>
              <w:pStyle w:val="10"/>
              <w:spacing w:line="260" w:lineRule="exact"/>
              <w:ind w:left="185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（3）提供了服务方案，方案内容不完整，不具备可操作性，得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</w:t>
            </w:r>
          </w:p>
          <w:p w14:paraId="61B6B83B">
            <w:pPr>
              <w:pStyle w:val="10"/>
              <w:spacing w:line="260" w:lineRule="exact"/>
              <w:ind w:left="185"/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（4）无提供服务方案不得分。</w:t>
            </w:r>
          </w:p>
          <w:p w14:paraId="1D0B0B03">
            <w:pPr>
              <w:pStyle w:val="10"/>
              <w:spacing w:line="260" w:lineRule="exact"/>
              <w:ind w:left="185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注：需提供承保、理赔方案等材料综合核定。</w:t>
            </w:r>
          </w:p>
        </w:tc>
      </w:tr>
      <w:tr w14:paraId="19BBFF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  <w:jc w:val="center"/>
        </w:trPr>
        <w:tc>
          <w:tcPr>
            <w:tcW w:w="664" w:type="dxa"/>
            <w:vMerge w:val="restart"/>
            <w:vAlign w:val="center"/>
          </w:tcPr>
          <w:p w14:paraId="54601C9B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商务部分(25分）</w:t>
            </w:r>
          </w:p>
        </w:tc>
        <w:tc>
          <w:tcPr>
            <w:tcW w:w="1632" w:type="dxa"/>
            <w:vAlign w:val="center"/>
          </w:tcPr>
          <w:p w14:paraId="39505FEE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企业信誉</w:t>
            </w:r>
          </w:p>
        </w:tc>
        <w:tc>
          <w:tcPr>
            <w:tcW w:w="800" w:type="dxa"/>
            <w:vAlign w:val="center"/>
          </w:tcPr>
          <w:p w14:paraId="32F91481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654" w:type="dxa"/>
            <w:vAlign w:val="center"/>
          </w:tcPr>
          <w:p w14:paraId="3019F633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有政府主管部门、同类客户等相关机构颁发的有关履约信用的证书或证明材料，每提供一份得1分，最高得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分。</w:t>
            </w:r>
          </w:p>
          <w:p w14:paraId="2B7B58A3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注：须提交相关证明材料复印件，未提供不得分。</w:t>
            </w:r>
          </w:p>
        </w:tc>
      </w:tr>
      <w:tr w14:paraId="5B7C87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  <w:jc w:val="center"/>
        </w:trPr>
        <w:tc>
          <w:tcPr>
            <w:tcW w:w="664" w:type="dxa"/>
            <w:vMerge w:val="continue"/>
            <w:vAlign w:val="center"/>
          </w:tcPr>
          <w:p w14:paraId="3E9D7B48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2E0A02A8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项目业绩</w:t>
            </w:r>
          </w:p>
        </w:tc>
        <w:tc>
          <w:tcPr>
            <w:tcW w:w="800" w:type="dxa"/>
            <w:vAlign w:val="center"/>
          </w:tcPr>
          <w:p w14:paraId="53816A65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654" w:type="dxa"/>
            <w:vAlign w:val="center"/>
          </w:tcPr>
          <w:p w14:paraId="615622D7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自2023年以来（以证明材料落款日期为准）同类项目的业绩进行评审：</w:t>
            </w:r>
          </w:p>
          <w:p w14:paraId="10E320B1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（1）每提供1份独立承保的同类项目业绩，得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</w:t>
            </w:r>
          </w:p>
          <w:p w14:paraId="36FDF6CC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（2）每提供1份同类项目业绩，但属于联共保项目的，按照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在保险共保体（联合体）内的份额比例折算业绩分数，计算公式为：单项业绩得分=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×（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w w:val="9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在保险共保体（联合体）内的份额比例）【举例如下：1份联共保项目业绩中，如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所占份额为40%，则得分为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×40%=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0.4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分。】。</w:t>
            </w:r>
          </w:p>
          <w:p w14:paraId="657FCE6D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w w:val="95"/>
                <w:sz w:val="21"/>
                <w:szCs w:val="21"/>
              </w:rPr>
              <w:t>以上分数可累计，但最多仅计算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w w:val="95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w w:val="95"/>
                <w:sz w:val="21"/>
                <w:szCs w:val="21"/>
              </w:rPr>
              <w:t>份业绩，最高得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w w:val="95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w w:val="95"/>
                <w:sz w:val="21"/>
                <w:szCs w:val="21"/>
              </w:rPr>
              <w:t>分。</w:t>
            </w:r>
          </w:p>
        </w:tc>
      </w:tr>
      <w:tr w14:paraId="15BDC7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  <w:jc w:val="center"/>
        </w:trPr>
        <w:tc>
          <w:tcPr>
            <w:tcW w:w="664" w:type="dxa"/>
            <w:vMerge w:val="continue"/>
            <w:vAlign w:val="center"/>
          </w:tcPr>
          <w:p w14:paraId="69D7578C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5857C604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履约能力</w:t>
            </w:r>
          </w:p>
        </w:tc>
        <w:tc>
          <w:tcPr>
            <w:tcW w:w="800" w:type="dxa"/>
            <w:vAlign w:val="center"/>
          </w:tcPr>
          <w:p w14:paraId="631F0404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654" w:type="dxa"/>
            <w:vAlign w:val="center"/>
          </w:tcPr>
          <w:p w14:paraId="658E9AD0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具备与人民调解机构理赔衔接的履约能力，分别按照以下类型提供理 赔履约经验： （1）30万以下（含30万）的赔案提供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六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份，每份得0.5分， 最高得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分；（2）30-50万（含50万）的赔案提供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份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，每份得1分，最高得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分；（3）80万元以上案件提供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一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份，每份得2分，最高得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2</w:t>
            </w:r>
            <w:r>
              <w:rPr>
                <w:rFonts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分。 本项合计最高得5分。 注：提供以人民调解协议作为理赔结论的赔付案例，人民 调解协议书和保险划款凭证金额一致作为评审依据，无提供不得分。</w:t>
            </w:r>
          </w:p>
        </w:tc>
      </w:tr>
      <w:tr w14:paraId="6C0749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  <w:jc w:val="center"/>
        </w:trPr>
        <w:tc>
          <w:tcPr>
            <w:tcW w:w="664" w:type="dxa"/>
            <w:vMerge w:val="continue"/>
            <w:vAlign w:val="center"/>
          </w:tcPr>
          <w:p w14:paraId="7FB6223B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582806A5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保密制度与方案</w:t>
            </w:r>
          </w:p>
        </w:tc>
        <w:tc>
          <w:tcPr>
            <w:tcW w:w="800" w:type="dxa"/>
            <w:vAlign w:val="center"/>
          </w:tcPr>
          <w:p w14:paraId="48EA6637">
            <w:pPr>
              <w:pStyle w:val="10"/>
              <w:spacing w:line="260" w:lineRule="exact"/>
              <w:ind w:left="129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5</w:t>
            </w:r>
          </w:p>
        </w:tc>
        <w:tc>
          <w:tcPr>
            <w:tcW w:w="5654" w:type="dxa"/>
            <w:vAlign w:val="center"/>
          </w:tcPr>
          <w:p w14:paraId="582FC273">
            <w:pPr>
              <w:pStyle w:val="10"/>
              <w:numPr>
                <w:ilvl w:val="0"/>
                <w:numId w:val="1"/>
              </w:numPr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具有完善合理、可行性强的保密制度与方案，得5分；（2）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具有相对合理可行的保密制度与方案，得3分；（3）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 xml:space="preserve">保密制度及保密方案相对不完善的，得1分；       （4）无提供人员配置方案或其它情况的，得0分。                     </w:t>
            </w:r>
          </w:p>
          <w:p w14:paraId="550BF554">
            <w:pPr>
              <w:pStyle w:val="10"/>
              <w:spacing w:line="260" w:lineRule="exact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注：提供保密制度及保密方案并加盖公章。</w:t>
            </w:r>
          </w:p>
        </w:tc>
      </w:tr>
      <w:tr w14:paraId="2A916A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664" w:type="dxa"/>
            <w:vAlign w:val="center"/>
          </w:tcPr>
          <w:p w14:paraId="023E641E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价格部分(30分）</w:t>
            </w:r>
          </w:p>
        </w:tc>
        <w:tc>
          <w:tcPr>
            <w:tcW w:w="1632" w:type="dxa"/>
            <w:vAlign w:val="center"/>
          </w:tcPr>
          <w:p w14:paraId="08BB4C70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项目报价</w:t>
            </w:r>
          </w:p>
        </w:tc>
        <w:tc>
          <w:tcPr>
            <w:tcW w:w="800" w:type="dxa"/>
            <w:vAlign w:val="center"/>
          </w:tcPr>
          <w:p w14:paraId="088B00AD">
            <w:pPr>
              <w:pStyle w:val="1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30</w:t>
            </w:r>
          </w:p>
        </w:tc>
        <w:tc>
          <w:tcPr>
            <w:tcW w:w="5654" w:type="dxa"/>
            <w:vAlign w:val="center"/>
          </w:tcPr>
          <w:p w14:paraId="18445CFE">
            <w:pPr>
              <w:pStyle w:val="10"/>
              <w:spacing w:line="260" w:lineRule="exact"/>
              <w:ind w:left="129"/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1"/>
                <w:szCs w:val="21"/>
              </w:rPr>
              <w:t>满足比选资质要求且投标价格最低的投标报价为评标基准价，其他比选申请人的价格统一按照下列公式计算：价格得分＝（评标基准价／投标报价）＊价格权重*100。</w:t>
            </w:r>
          </w:p>
        </w:tc>
      </w:tr>
    </w:tbl>
    <w:p w14:paraId="72EFC88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5777A9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42C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2F10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2F10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D204CD"/>
    <w:multiLevelType w:val="singleLevel"/>
    <w:tmpl w:val="2CD204C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zOGRhMGVmNWJkNjY3OWJjYmM1MDVmMGZiZThhNzYifQ=="/>
  </w:docVars>
  <w:rsids>
    <w:rsidRoot w:val="00E21377"/>
    <w:rsid w:val="00535054"/>
    <w:rsid w:val="008D238A"/>
    <w:rsid w:val="00E21377"/>
    <w:rsid w:val="00F11451"/>
    <w:rsid w:val="00F95FDC"/>
    <w:rsid w:val="07226596"/>
    <w:rsid w:val="09D71932"/>
    <w:rsid w:val="0C390BE8"/>
    <w:rsid w:val="0E8F7D77"/>
    <w:rsid w:val="0E9768AD"/>
    <w:rsid w:val="10CF2CCF"/>
    <w:rsid w:val="1AC14168"/>
    <w:rsid w:val="1C3A6BF5"/>
    <w:rsid w:val="1C8F7D96"/>
    <w:rsid w:val="2649061F"/>
    <w:rsid w:val="26BE72FA"/>
    <w:rsid w:val="2B5A3EBA"/>
    <w:rsid w:val="30F52E7F"/>
    <w:rsid w:val="343B467F"/>
    <w:rsid w:val="3CE05AB1"/>
    <w:rsid w:val="42F062CD"/>
    <w:rsid w:val="43A93F3B"/>
    <w:rsid w:val="477F1B20"/>
    <w:rsid w:val="47C339C8"/>
    <w:rsid w:val="48AC39E7"/>
    <w:rsid w:val="4CA0262B"/>
    <w:rsid w:val="4D086B01"/>
    <w:rsid w:val="4F5764B9"/>
    <w:rsid w:val="515F4D2C"/>
    <w:rsid w:val="5483631E"/>
    <w:rsid w:val="54B7709D"/>
    <w:rsid w:val="56110C62"/>
    <w:rsid w:val="591C5A3C"/>
    <w:rsid w:val="5AFA08CD"/>
    <w:rsid w:val="63CB1EED"/>
    <w:rsid w:val="67A56683"/>
    <w:rsid w:val="68347B2C"/>
    <w:rsid w:val="68C64184"/>
    <w:rsid w:val="6A194C38"/>
    <w:rsid w:val="6ACD532A"/>
    <w:rsid w:val="73520AC2"/>
    <w:rsid w:val="76061509"/>
    <w:rsid w:val="77462F46"/>
    <w:rsid w:val="779F7FC9"/>
    <w:rsid w:val="7BBE2911"/>
    <w:rsid w:val="7EDA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ind w:right="-334" w:rightChars="-159"/>
    </w:pPr>
    <w:rPr>
      <w:rFonts w:ascii="宋体" w:hAnsi="宋体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99"/>
    <w:pPr>
      <w:spacing w:after="120"/>
      <w:ind w:left="420" w:leftChars="200"/>
    </w:pPr>
    <w:rPr>
      <w:sz w:val="16"/>
      <w:szCs w:val="16"/>
    </w:rPr>
  </w:style>
  <w:style w:type="paragraph" w:customStyle="1" w:styleId="9">
    <w:name w:val="_Style 3"/>
    <w:basedOn w:val="1"/>
    <w:next w:val="6"/>
    <w:qFormat/>
    <w:uiPriority w:val="0"/>
    <w:pPr>
      <w:ind w:firstLine="420" w:firstLineChars="200"/>
    </w:pPr>
    <w:rPr>
      <w:sz w:val="20"/>
    </w:rPr>
  </w:style>
  <w:style w:type="paragraph" w:customStyle="1" w:styleId="10">
    <w:name w:val="Table Paragraph"/>
    <w:basedOn w:val="1"/>
    <w:qFormat/>
    <w:uiPriority w:val="1"/>
    <w:rPr>
      <w:rFonts w:ascii="宋体" w:hAnsi="宋体" w:cs="宋体"/>
    </w:r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12">
    <w:name w:val="页眉 字符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1867</Words>
  <Characters>1929</Characters>
  <Lines>14</Lines>
  <Paragraphs>4</Paragraphs>
  <TotalTime>3</TotalTime>
  <ScaleCrop>false</ScaleCrop>
  <LinksUpToDate>false</LinksUpToDate>
  <CharactersWithSpaces>1991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2024-09-30T07:32:00Z</dcterms:created>
  <dc:creator>Administrator</dc:creator>
  <cp:lastModifiedBy>中经</cp:lastModifiedBy>
  <dcterms:modified xsi:type="dcterms:W3CDTF">2026-09-02T01:52:39Z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6CEA165EFBD44BA7AA7BEE8C4B9D44A5_13</vt:lpwstr>
  </property>
  <property fmtid="{D5CDD505-2E9C-101B-9397-08002B2CF9AE}" pid="4" name="KSOTemplateDocerSaveRecord">
    <vt:lpwstr>eyJoZGlkIjoiOTc2OWE0Y2VkN2ZhMjBjMGU5ODljMTIzNmMwYzA4OWYiLCJ1c2VySWQiOiI2NDc4NTcyODAifQ==</vt:lpwstr>
  </property>
</Properties>
</file>