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400960188"/>
      <w:bookmarkStart w:id="2" w:name="_Toc20527"/>
      <w:bookmarkStart w:id="3" w:name="_Toc2727"/>
      <w:bookmarkStart w:id="4" w:name="_Toc397676794"/>
      <w:bookmarkStart w:id="5" w:name="_Toc35609649"/>
      <w:r>
        <w:rPr>
          <w:rFonts w:hint="eastAsia" w:cs="宋体"/>
          <w:color w:val="auto"/>
          <w:sz w:val="28"/>
          <w:szCs w:val="28"/>
          <w:highlight w:val="none"/>
          <w:shd w:val="clear" w:color="auto" w:fill="FFFFFF"/>
          <w:lang w:eastAsia="zh-CN"/>
        </w:rPr>
        <w:t>广州市天河区中医医院2026年度医疗责任险及安全生产责任保险服务项目</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天河区中医医院办公区（广州市天河区中医医院对面）</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，林小姐，在接到电话通知准时参加院内比选，广州市天河区中医医院</w:t>
      </w:r>
      <w:r>
        <w:rPr>
          <w:rFonts w:hint="eastAsia" w:ascii="仿宋" w:hAnsi="仿宋" w:eastAsia="仿宋" w:cs="仿宋"/>
          <w:color w:val="auto"/>
          <w:kern w:val="0"/>
          <w:sz w:val="28"/>
          <w:szCs w:val="28"/>
          <w:highlight w:val="none"/>
          <w:lang w:val="en-US" w:eastAsia="zh-CN"/>
        </w:rPr>
        <w:t>办公区会议室</w:t>
      </w:r>
      <w:r>
        <w:rPr>
          <w:rFonts w:hint="eastAsia" w:ascii="仿宋" w:hAnsi="仿宋" w:eastAsia="仿宋" w:cs="仿宋"/>
          <w:color w:val="auto"/>
          <w:kern w:val="0"/>
          <w:sz w:val="28"/>
          <w:szCs w:val="28"/>
          <w:highlight w:val="none"/>
        </w:rPr>
        <w:t>，地址：广州市天河区黄埔大道中锦明街93号天河区中医医院办公区（广州市天河区中医医院对面）。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bookmarkStart w:id="109" w:name="_GoBack"/>
      <w:bookmarkEnd w:id="109"/>
    </w:p>
    <w:p>
      <w:pPr>
        <w:spacing w:line="360" w:lineRule="auto"/>
        <w:jc w:val="center"/>
        <w:rPr>
          <w:rFonts w:hint="eastAsia" w:ascii="宋体" w:hAnsi="宋体"/>
          <w:b/>
          <w:color w:val="auto"/>
          <w:sz w:val="24"/>
          <w:highlight w:val="none"/>
        </w:rPr>
      </w:pPr>
      <w:bookmarkStart w:id="6" w:name="_Toc322091072"/>
      <w:bookmarkStart w:id="7" w:name="_Toc150653527"/>
      <w:bookmarkStart w:id="8" w:name="_Toc322033286"/>
      <w:bookmarkStart w:id="9" w:name="_Toc262203146"/>
      <w:bookmarkStart w:id="10" w:name="_Toc322033403"/>
      <w:bookmarkStart w:id="11" w:name="_Toc263333430"/>
      <w:bookmarkStart w:id="12" w:name="_Toc25946"/>
      <w:bookmarkStart w:id="13" w:name="_Toc222735167"/>
      <w:bookmarkStart w:id="14" w:name="_Toc110315379"/>
      <w:bookmarkStart w:id="15" w:name="_Toc110315002"/>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广州市天河区中医医院2026年度医疗责任险及安全生产责任保险服务项目</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322033404"/>
      <w:bookmarkStart w:id="18" w:name="_Toc18387"/>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2376310"/>
      <w:bookmarkStart w:id="20" w:name="_Toc293950831"/>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必须为经国家金融监督管理机构批准，在中华人民共和国境内设立和营业，并被核定可在广州市境内依法经营责任保险业务的保险公司或其分支机构（须提供《保险许可证》等法定资格证件复印件并加盖公章）；同一保险公司仅允许一家分支机构参加本项目，多家分支机构同时授权投标、总公司与分支机构同时参与投标的，全部按无效投标处理</w:t>
            </w:r>
            <w:r>
              <w:rPr>
                <w:rFonts w:hint="eastAsia" w:ascii="宋体" w:hAnsi="宋体" w:cs="Times New Roman"/>
                <w:color w:val="auto"/>
                <w:kern w:val="2"/>
                <w:sz w:val="21"/>
                <w:szCs w:val="21"/>
                <w:highlight w:val="none"/>
                <w:lang w:val="en-US" w:eastAsia="zh-CN" w:bidi="ar-SA"/>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lang w:val="en-US" w:eastAsia="zh-CN"/>
              </w:rPr>
            </w:pPr>
            <w:r>
              <w:rPr>
                <w:rFonts w:hint="eastAsia" w:cs="宋体"/>
                <w:kern w:val="0"/>
                <w:sz w:val="21"/>
                <w:szCs w:val="21"/>
              </w:rPr>
              <w:t>追溯期情况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应急响应能力</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理赔时效承诺</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服务人员配置</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理赔服务方案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企业信誉</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项目业绩</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履约能力</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cs="宋体"/>
                <w:kern w:val="0"/>
                <w:sz w:val="21"/>
                <w:szCs w:val="21"/>
              </w:rPr>
            </w:pPr>
            <w:r>
              <w:rPr>
                <w:rFonts w:hint="eastAsia" w:cs="宋体"/>
                <w:kern w:val="0"/>
                <w:sz w:val="21"/>
                <w:szCs w:val="21"/>
              </w:rPr>
              <w:t>保密制度与方案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sz w:val="21"/>
                <w:szCs w:val="21"/>
              </w:rPr>
              <w:t>技术参数响应情况</w:t>
            </w:r>
            <w:r>
              <w:rPr>
                <w:rFonts w:hint="eastAsia" w:cs="宋体"/>
                <w:sz w:val="21"/>
                <w:szCs w:val="21"/>
                <w:lang w:val="en-US" w:eastAsia="zh-CN"/>
              </w:rPr>
              <w:t>/</w:t>
            </w:r>
            <w:r>
              <w:rPr>
                <w:rFonts w:hint="eastAsia" w:ascii="宋体" w:hAnsi="宋体" w:eastAsia="宋体" w:cs="宋体"/>
                <w:color w:val="auto"/>
                <w:sz w:val="21"/>
                <w:szCs w:val="21"/>
                <w:highlight w:val="none"/>
                <w:lang w:val="en-US" w:eastAsia="zh-CN"/>
              </w:rPr>
              <w:t>采购项目内容响应表</w:t>
            </w:r>
            <w:r>
              <w:rPr>
                <w:rFonts w:hint="eastAsia" w:ascii="宋体" w:hAnsi="宋体" w:cs="宋体"/>
                <w:color w:val="auto"/>
                <w:sz w:val="21"/>
                <w:szCs w:val="21"/>
                <w:highlight w:val="none"/>
                <w:lang w:val="en-US" w:eastAsia="zh-CN"/>
              </w:rPr>
              <w:t>（附件8）</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lang w:val="en-US" w:eastAsia="zh-CN"/>
              </w:rPr>
              <w:t>报价</w:t>
            </w:r>
            <w:r>
              <w:rPr>
                <w:rFonts w:hint="eastAsia" w:ascii="宋体" w:hAnsi="宋体"/>
                <w:color w:val="auto"/>
                <w:szCs w:val="21"/>
                <w:highlight w:val="none"/>
              </w:rPr>
              <w:t>表（附件</w:t>
            </w:r>
            <w:r>
              <w:rPr>
                <w:rFonts w:hint="eastAsia" w:ascii="宋体" w:hAnsi="宋体"/>
                <w:color w:val="auto"/>
                <w:szCs w:val="21"/>
                <w:highlight w:val="none"/>
                <w:lang w:val="en-US" w:eastAsia="zh-CN"/>
              </w:rPr>
              <w:t>10</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397676795"/>
      <w:bookmarkStart w:id="22" w:name="_Toc400960189"/>
      <w:bookmarkStart w:id="23" w:name="_Toc263670123"/>
      <w:bookmarkStart w:id="24" w:name="_Toc18965"/>
      <w:bookmarkStart w:id="25" w:name="_Toc15637"/>
      <w:bookmarkStart w:id="26" w:name="_Toc263437595"/>
      <w:bookmarkStart w:id="27" w:name="_Toc35609652"/>
      <w:bookmarkStart w:id="28" w:name="_Toc322033405"/>
      <w:r>
        <w:rPr>
          <w:rFonts w:hint="eastAsia" w:ascii="宋体" w:hAnsi="宋体"/>
          <w:b/>
          <w:color w:val="auto"/>
          <w:sz w:val="32"/>
          <w:szCs w:val="32"/>
          <w:highlight w:val="none"/>
        </w:rPr>
        <w:br w:type="page"/>
      </w:r>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1"/>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keepNext w:val="0"/>
        <w:keepLines w:val="0"/>
        <w:pageBreakBefore w:val="0"/>
        <w:widowControl w:val="0"/>
        <w:kinsoku/>
        <w:wordWrap/>
        <w:overflowPunct/>
        <w:topLinePunct w:val="0"/>
        <w:autoSpaceDE/>
        <w:autoSpaceDN/>
        <w:bidi w:val="0"/>
        <w:adjustRightInd w:val="0"/>
        <w:snapToGrid/>
        <w:spacing w:line="348" w:lineRule="auto"/>
        <w:ind w:firstLine="420" w:firstLineChars="200"/>
        <w:textAlignment w:val="auto"/>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广州市天河区中医医院2026年度医疗责任险及安全生产责任保险服务项目</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24078"/>
      <w:bookmarkStart w:id="32" w:name="_Toc322033406"/>
      <w:r>
        <w:rPr>
          <w:rFonts w:ascii="宋体" w:hAnsi="宋体" w:cs="Times New Roman"/>
          <w:bCs w:val="0"/>
          <w:color w:val="auto"/>
          <w:sz w:val="21"/>
          <w:szCs w:val="21"/>
          <w:highlight w:val="none"/>
        </w:rPr>
        <w:br w:type="page"/>
      </w:r>
      <w:bookmarkStart w:id="33" w:name="_Toc20240"/>
      <w:bookmarkStart w:id="34" w:name="_Toc397676796"/>
      <w:bookmarkStart w:id="35" w:name="_Toc400960190"/>
      <w:bookmarkStart w:id="36" w:name="_Toc28861"/>
      <w:bookmarkStart w:id="37" w:name="_Toc35609653"/>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483379796"/>
      <w:bookmarkStart w:id="39" w:name="_Toc110393361"/>
      <w:bookmarkStart w:id="40" w:name="_Toc225223761"/>
      <w:bookmarkStart w:id="41" w:name="_Toc14746861"/>
      <w:bookmarkStart w:id="42" w:name="_Toc488936100"/>
      <w:bookmarkStart w:id="43" w:name="_Toc479927873"/>
      <w:bookmarkStart w:id="44" w:name="_Toc263670126"/>
      <w:bookmarkStart w:id="45" w:name="_Toc263336373"/>
      <w:bookmarkStart w:id="46" w:name="_Toc263437597"/>
      <w:bookmarkStart w:id="47" w:name="_Toc110315003"/>
      <w:bookmarkStart w:id="48" w:name="_Toc110315380"/>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2"/>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16348"/>
      <w:bookmarkStart w:id="50" w:name="_Toc322033407"/>
      <w:bookmarkStart w:id="51" w:name="_Toc35609654"/>
      <w:bookmarkStart w:id="52" w:name="_Toc397676797"/>
      <w:bookmarkStart w:id="53" w:name="_Toc30513"/>
      <w:bookmarkStart w:id="54" w:name="_Toc30861"/>
      <w:bookmarkStart w:id="55" w:name="_Toc400960191"/>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31939"/>
      <w:bookmarkStart w:id="58" w:name="_Toc397676798"/>
      <w:bookmarkStart w:id="59" w:name="_Toc35609655"/>
      <w:bookmarkStart w:id="60" w:name="_Toc24958"/>
      <w:bookmarkStart w:id="61" w:name="_Toc400960192"/>
      <w:bookmarkStart w:id="62" w:name="_Toc322033408"/>
      <w:bookmarkStart w:id="63" w:name="_Toc29552"/>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广州市天河区中医医院2026年度医疗责任险及安全生产责任保险服务项目</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336371"/>
      <w:bookmarkStart w:id="65" w:name="_Toc263670124"/>
      <w:bookmarkStart w:id="66" w:name="_Toc263437596"/>
      <w:bookmarkStart w:id="67" w:name="_Toc322033409"/>
      <w:bookmarkStart w:id="68" w:name="_Toc400960193"/>
      <w:bookmarkStart w:id="69" w:name="_Toc1484"/>
      <w:bookmarkStart w:id="70" w:name="_Toc35609656"/>
      <w:bookmarkStart w:id="71" w:name="_Toc11104"/>
      <w:bookmarkStart w:id="72" w:name="_Toc397676799"/>
      <w:bookmarkStart w:id="73" w:name="_Toc30541"/>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广州市天河区中医医院2026年度医疗责任险及安全生产责任保险服务项目</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3"/>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3"/>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3"/>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009"/>
      <w:bookmarkStart w:id="75" w:name="_Toc110315386"/>
      <w:bookmarkStart w:id="76" w:name="_Toc110315004"/>
      <w:bookmarkStart w:id="77" w:name="_Toc110315381"/>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322033411"/>
      <w:bookmarkStart w:id="80" w:name="_Toc397676801"/>
      <w:bookmarkStart w:id="81" w:name="_Toc11938"/>
    </w:p>
    <w:p>
      <w:pPr>
        <w:pStyle w:val="2"/>
        <w:keepNext w:val="0"/>
        <w:jc w:val="both"/>
        <w:rPr>
          <w:rFonts w:hint="eastAsia" w:ascii="宋体" w:hAnsi="宋体"/>
          <w:color w:val="auto"/>
          <w:sz w:val="32"/>
          <w:szCs w:val="32"/>
          <w:highlight w:val="none"/>
        </w:rPr>
      </w:pPr>
      <w:bookmarkStart w:id="82" w:name="_Toc25561"/>
      <w:bookmarkStart w:id="83" w:name="_Toc15379"/>
      <w:bookmarkStart w:id="84" w:name="_Toc35609658"/>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35609660"/>
      <w:bookmarkStart w:id="88" w:name="_Toc322033413"/>
      <w:bookmarkStart w:id="89" w:name="_Toc397676804"/>
      <w:bookmarkStart w:id="90" w:name="_Toc9008"/>
      <w:bookmarkStart w:id="91" w:name="_Toc400960198"/>
      <w:bookmarkStart w:id="92" w:name="_Toc517533517"/>
      <w:bookmarkStart w:id="93" w:name="_Toc246241003"/>
      <w:bookmarkStart w:id="94" w:name="_Toc263670130"/>
      <w:bookmarkStart w:id="95" w:name="_Toc275440314"/>
    </w:p>
    <w:bookmarkEnd w:id="86"/>
    <w:p>
      <w:pPr>
        <w:pStyle w:val="2"/>
        <w:keepNext w:val="0"/>
        <w:jc w:val="both"/>
        <w:rPr>
          <w:rFonts w:hint="eastAsia" w:ascii="宋体" w:hAnsi="宋体"/>
          <w:b w:val="0"/>
          <w:sz w:val="30"/>
          <w:szCs w:val="30"/>
        </w:rPr>
      </w:pPr>
      <w:bookmarkStart w:id="96" w:name="_Toc400960196"/>
      <w:bookmarkStart w:id="97" w:name="_Toc35609659"/>
      <w:bookmarkStart w:id="98" w:name="_Toc29220"/>
      <w:bookmarkStart w:id="99" w:name="_Toc15743"/>
      <w:r>
        <w:rPr>
          <w:rFonts w:hint="eastAsia" w:ascii="宋体" w:hAnsi="宋体"/>
          <w:sz w:val="32"/>
          <w:szCs w:val="32"/>
        </w:rPr>
        <w:t>附件</w:t>
      </w:r>
      <w:r>
        <w:rPr>
          <w:rFonts w:hint="eastAsia" w:ascii="宋体" w:hAnsi="宋体"/>
          <w:sz w:val="32"/>
          <w:szCs w:val="32"/>
          <w:lang w:val="en-US" w:eastAsia="zh-CN"/>
        </w:rPr>
        <w:t>8</w:t>
      </w:r>
      <w:r>
        <w:rPr>
          <w:rFonts w:hint="eastAsia" w:ascii="宋体" w:hAnsi="宋体"/>
          <w:sz w:val="32"/>
          <w:szCs w:val="32"/>
        </w:rPr>
        <w:t xml:space="preserve"> 采购项目内容响应表</w:t>
      </w:r>
      <w:bookmarkEnd w:id="96"/>
      <w:bookmarkEnd w:id="97"/>
    </w:p>
    <w:p>
      <w:pPr>
        <w:spacing w:line="20" w:lineRule="exact"/>
        <w:rPr>
          <w:rFonts w:hint="eastAsia" w:ascii="宋体" w:hAnsi="宋体"/>
          <w:sz w:val="32"/>
          <w:szCs w:val="32"/>
        </w:rPr>
      </w:pPr>
    </w:p>
    <w:p>
      <w:pPr>
        <w:spacing w:line="360" w:lineRule="auto"/>
        <w:jc w:val="center"/>
        <w:rPr>
          <w:rFonts w:hint="eastAsia" w:ascii="宋体" w:hAnsi="宋体"/>
          <w:b/>
          <w:sz w:val="24"/>
          <w:highlight w:val="none"/>
        </w:rPr>
      </w:pPr>
      <w:r>
        <w:rPr>
          <w:rFonts w:hint="eastAsia" w:ascii="宋体" w:hAnsi="宋体"/>
          <w:b/>
          <w:sz w:val="24"/>
          <w:highlight w:val="none"/>
          <w:lang w:val="en-US" w:eastAsia="zh-CN"/>
        </w:rPr>
        <w:t>8</w:t>
      </w:r>
      <w:r>
        <w:rPr>
          <w:rFonts w:hint="eastAsia" w:ascii="宋体" w:hAnsi="宋体"/>
          <w:b/>
          <w:sz w:val="24"/>
          <w:highlight w:val="none"/>
        </w:rPr>
        <w:t>-1技术要求响应表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的技术要求的内容逐条响应。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技术要求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eastAsia="宋体"/>
                <w:snapToGrid w:val="0"/>
                <w:kern w:val="0"/>
                <w:szCs w:val="21"/>
                <w:highlight w:val="none"/>
                <w:lang w:eastAsia="zh-CN"/>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w:t>
      </w:r>
      <w:r>
        <w:rPr>
          <w:rFonts w:hint="eastAsia" w:ascii="宋体" w:hAnsi="宋体"/>
          <w:b/>
          <w:szCs w:val="21"/>
          <w:highlight w:val="none"/>
          <w:lang w:val="en-US" w:eastAsia="zh-CN"/>
        </w:rPr>
        <w:t>采购需求</w:t>
      </w:r>
      <w:r>
        <w:rPr>
          <w:rFonts w:hint="eastAsia" w:ascii="宋体" w:hAnsi="宋体"/>
          <w:b/>
          <w:szCs w:val="21"/>
          <w:highlight w:val="none"/>
        </w:rPr>
        <w:t>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rPr>
          <w:rFonts w:hint="eastAsia" w:ascii="宋体" w:hAnsi="宋体"/>
          <w:szCs w:val="21"/>
        </w:rPr>
      </w:pPr>
    </w:p>
    <w:p>
      <w:pPr>
        <w:spacing w:line="360" w:lineRule="auto"/>
        <w:jc w:val="center"/>
        <w:rPr>
          <w:rFonts w:hint="eastAsia" w:ascii="宋体" w:hAnsi="宋体"/>
          <w:b/>
          <w:sz w:val="24"/>
          <w:highlight w:val="none"/>
        </w:rPr>
      </w:pPr>
      <w:r>
        <w:rPr>
          <w:rFonts w:ascii="宋体" w:hAnsi="宋体"/>
          <w:sz w:val="32"/>
          <w:szCs w:val="32"/>
        </w:rPr>
        <w:br w:type="page"/>
      </w:r>
      <w:r>
        <w:rPr>
          <w:rFonts w:hint="eastAsia" w:ascii="宋体" w:hAnsi="宋体"/>
          <w:b/>
          <w:sz w:val="24"/>
          <w:highlight w:val="none"/>
          <w:lang w:val="en-US" w:eastAsia="zh-CN"/>
        </w:rPr>
        <w:t>8</w:t>
      </w:r>
      <w:r>
        <w:rPr>
          <w:rFonts w:hint="eastAsia" w:ascii="宋体" w:hAnsi="宋体"/>
          <w:b/>
          <w:sz w:val="24"/>
          <w:highlight w:val="none"/>
        </w:rPr>
        <w:t>-2商务要求响应表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w:t>
      </w:r>
      <w:r>
        <w:rPr>
          <w:rFonts w:hint="eastAsia" w:hAnsi="宋体"/>
          <w:szCs w:val="21"/>
          <w:highlight w:val="none"/>
          <w:lang w:val="en-US" w:eastAsia="zh-CN"/>
        </w:rPr>
        <w:t>商务</w:t>
      </w:r>
      <w:r>
        <w:rPr>
          <w:rFonts w:hint="eastAsia" w:hAnsi="宋体"/>
          <w:szCs w:val="21"/>
          <w:highlight w:val="none"/>
        </w:rPr>
        <w:t>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商务要求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snapToGrid w:val="0"/>
                <w:kern w:val="0"/>
                <w:szCs w:val="21"/>
                <w:highlight w:val="none"/>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备注：按招标文件规定附相关有效的证明资料。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rPr>
          <w:rFonts w:hint="eastAsia" w:ascii="宋体" w:hAnsi="宋体"/>
          <w:color w:val="auto"/>
          <w:sz w:val="32"/>
          <w:szCs w:val="32"/>
          <w:highlight w:val="none"/>
        </w:rPr>
      </w:pPr>
      <w:r>
        <w:rPr>
          <w:rFonts w:hint="eastAsia" w:ascii="宋体" w:hAnsi="宋体"/>
          <w:color w:val="auto"/>
          <w:sz w:val="32"/>
          <w:szCs w:val="32"/>
          <w:highlight w:val="none"/>
        </w:rPr>
        <w:br w:type="page"/>
      </w:r>
    </w:p>
    <w:p>
      <w:pPr>
        <w:pStyle w:val="2"/>
        <w:keepNext w:val="0"/>
        <w:jc w:val="both"/>
        <w:rPr>
          <w:rFonts w:hint="eastAsia" w:ascii="宋体" w:hAnsi="宋体"/>
          <w:color w:val="auto"/>
          <w:sz w:val="32"/>
          <w:szCs w:val="32"/>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8"/>
      <w:bookmarkEnd w:id="99"/>
    </w:p>
    <w:bookmarkEnd w:id="93"/>
    <w:p>
      <w:pPr>
        <w:adjustRightInd w:val="0"/>
        <w:spacing w:line="360" w:lineRule="auto"/>
        <w:ind w:firstLine="2715" w:firstLineChars="1127"/>
        <w:rPr>
          <w:rFonts w:hint="eastAsia" w:ascii="宋体" w:hAnsi="宋体"/>
          <w:b/>
          <w:color w:val="auto"/>
          <w:sz w:val="24"/>
          <w:highlight w:val="none"/>
        </w:rPr>
      </w:pPr>
      <w:bookmarkStart w:id="100"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广州市天河区中医医院2026年度医疗责任险及安全生产责任保险服务项目</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100"/>
      <w:bookmarkStart w:id="101" w:name="_Toc259031662"/>
    </w:p>
    <w:bookmarkEnd w:id="101"/>
    <w:p>
      <w:pPr>
        <w:rPr>
          <w:rFonts w:hint="eastAsia" w:ascii="宋体" w:hAnsi="宋体"/>
          <w:color w:val="auto"/>
          <w:highlight w:val="none"/>
        </w:rPr>
      </w:pPr>
      <w:r>
        <w:rPr>
          <w:rFonts w:hint="eastAsia" w:ascii="宋体" w:hAnsi="宋体"/>
          <w:color w:val="auto"/>
          <w:highlight w:val="none"/>
        </w:rPr>
        <w:br w:type="page"/>
      </w:r>
      <w:bookmarkStart w:id="102" w:name="_Toc322033416"/>
      <w:bookmarkStart w:id="103" w:name="_Toc32242"/>
      <w:bookmarkStart w:id="104" w:name="_Toc4956"/>
      <w:bookmarkStart w:id="105" w:name="_Toc400960201"/>
      <w:bookmarkStart w:id="106" w:name="_Toc35609662"/>
      <w:bookmarkStart w:id="107" w:name="_Toc32498"/>
      <w:bookmarkStart w:id="108" w:name="_Toc397676807"/>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10</w:t>
      </w:r>
      <w:r>
        <w:rPr>
          <w:rFonts w:hint="eastAsia" w:ascii="宋体" w:hAnsi="宋体"/>
          <w:color w:val="auto"/>
          <w:sz w:val="32"/>
          <w:szCs w:val="32"/>
          <w:highlight w:val="none"/>
        </w:rPr>
        <w:t xml:space="preserve"> </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表</w:t>
      </w:r>
      <w:bookmarkEnd w:id="102"/>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宋体" w:hAnsi="宋体" w:eastAsia="宋体" w:cs="宋体"/>
          <w:b/>
          <w:bCs/>
          <w:sz w:val="30"/>
          <w:szCs w:val="30"/>
        </w:rPr>
      </w:pPr>
      <w:r>
        <w:rPr>
          <w:rFonts w:hint="eastAsia" w:ascii="宋体" w:hAnsi="宋体" w:eastAsia="宋体" w:cs="宋体"/>
          <w:b/>
          <w:bCs/>
          <w:sz w:val="30"/>
          <w:szCs w:val="30"/>
        </w:rPr>
        <w:t>报</w:t>
      </w:r>
      <w:r>
        <w:rPr>
          <w:rFonts w:hint="eastAsia" w:ascii="宋体" w:hAnsi="宋体" w:eastAsia="宋体" w:cs="宋体"/>
          <w:b/>
          <w:bCs/>
          <w:sz w:val="30"/>
          <w:szCs w:val="30"/>
          <w:lang w:val="en-US" w:eastAsia="zh-CN"/>
        </w:rPr>
        <w:t xml:space="preserve"> </w:t>
      </w:r>
      <w:r>
        <w:rPr>
          <w:rFonts w:hint="eastAsia" w:ascii="宋体" w:hAnsi="宋体" w:eastAsia="宋体" w:cs="宋体"/>
          <w:b/>
          <w:bCs/>
          <w:sz w:val="30"/>
          <w:szCs w:val="30"/>
        </w:rPr>
        <w:t>价</w:t>
      </w:r>
      <w:r>
        <w:rPr>
          <w:rFonts w:hint="eastAsia" w:ascii="宋体" w:hAnsi="宋体" w:eastAsia="宋体" w:cs="宋体"/>
          <w:b/>
          <w:bCs/>
          <w:sz w:val="30"/>
          <w:szCs w:val="30"/>
          <w:lang w:val="en-US" w:eastAsia="zh-CN"/>
        </w:rPr>
        <w:t xml:space="preserve"> </w:t>
      </w:r>
      <w:r>
        <w:rPr>
          <w:rFonts w:hint="eastAsia" w:ascii="宋体" w:hAnsi="宋体" w:eastAsia="宋体" w:cs="宋体"/>
          <w:b/>
          <w:bCs/>
          <w:sz w:val="30"/>
          <w:szCs w:val="30"/>
        </w:rPr>
        <w:t>表</w:t>
      </w:r>
    </w:p>
    <w:p>
      <w:pPr>
        <w:keepNext w:val="0"/>
        <w:keepLines w:val="0"/>
        <w:pageBreakBefore w:val="0"/>
        <w:widowControl w:val="0"/>
        <w:kinsoku/>
        <w:wordWrap/>
        <w:overflowPunct/>
        <w:topLinePunct w:val="0"/>
        <w:autoSpaceDE/>
        <w:autoSpaceDN/>
        <w:bidi w:val="0"/>
        <w:adjustRightInd/>
        <w:snapToGrid/>
        <w:spacing w:line="200" w:lineRule="exact"/>
        <w:ind w:firstLine="3080" w:firstLineChars="700"/>
        <w:textAlignment w:val="auto"/>
        <w:rPr>
          <w:rFonts w:hint="eastAsia" w:ascii="黑体" w:hAnsi="黑体" w:eastAsia="黑体" w:cs="黑体"/>
          <w:b w:val="0"/>
          <w:bCs w:val="0"/>
          <w:sz w:val="44"/>
          <w:szCs w:val="44"/>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致：广州市天河区中医医院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我单位参加2026年度医疗责任险及应急安全生产责任保险服务项目报价活动，郑重承诺：</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一、我</w:t>
      </w:r>
      <w:r>
        <w:rPr>
          <w:rFonts w:hint="eastAsia" w:ascii="宋体" w:hAnsi="宋体" w:eastAsia="宋体" w:cs="宋体"/>
          <w:sz w:val="21"/>
          <w:szCs w:val="21"/>
        </w:rPr>
        <w:t>方声明，本次报价提交全部申报资料真实、准确、完整。若存在虚假材料，造成报价无效、经济损失、法律责任，全部由我方自行承担。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二、</w:t>
      </w:r>
      <w:r>
        <w:rPr>
          <w:rFonts w:hint="eastAsia" w:ascii="宋体" w:hAnsi="宋体" w:eastAsia="宋体" w:cs="宋体"/>
          <w:sz w:val="21"/>
          <w:szCs w:val="21"/>
        </w:rPr>
        <w:t>本项目报价：</w:t>
      </w:r>
    </w:p>
    <w:tbl>
      <w:tblPr>
        <w:tblStyle w:val="15"/>
        <w:tblW w:w="87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06"/>
        <w:gridCol w:w="2690"/>
        <w:gridCol w:w="2940"/>
        <w:gridCol w:w="2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22" w:hRule="atLeast"/>
          <w:jc w:val="center"/>
        </w:trPr>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序号</w:t>
            </w:r>
          </w:p>
        </w:tc>
        <w:tc>
          <w:tcPr>
            <w:tcW w:w="2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采购标的</w:t>
            </w:r>
          </w:p>
        </w:tc>
        <w:tc>
          <w:tcPr>
            <w:tcW w:w="2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报价（大写）</w:t>
            </w:r>
          </w:p>
        </w:tc>
        <w:tc>
          <w:tcPr>
            <w:tcW w:w="2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val="0"/>
                <w:bCs/>
                <w:i w:val="0"/>
                <w:color w:val="000000"/>
                <w:kern w:val="0"/>
                <w:sz w:val="21"/>
                <w:szCs w:val="21"/>
                <w:u w:val="none"/>
                <w:lang w:val="en-US" w:eastAsia="zh-CN" w:bidi="ar"/>
              </w:rPr>
            </w:pPr>
            <w:r>
              <w:rPr>
                <w:rFonts w:hint="eastAsia" w:ascii="宋体" w:hAnsi="宋体" w:eastAsia="宋体" w:cs="宋体"/>
                <w:b w:val="0"/>
                <w:bCs/>
                <w:i w:val="0"/>
                <w:color w:val="000000"/>
                <w:kern w:val="0"/>
                <w:sz w:val="21"/>
                <w:szCs w:val="21"/>
                <w:u w:val="none"/>
                <w:lang w:val="en-US" w:eastAsia="zh-CN" w:bidi="ar"/>
              </w:rPr>
              <w:t>报价</w:t>
            </w:r>
          </w:p>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（小写，元）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8" w:hRule="atLeast"/>
          <w:jc w:val="center"/>
        </w:trPr>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医疗责任险</w:t>
            </w:r>
          </w:p>
        </w:tc>
        <w:tc>
          <w:tcPr>
            <w:tcW w:w="2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人民币________</w:t>
            </w:r>
            <w:r>
              <w:rPr>
                <w:rStyle w:val="28"/>
                <w:rFonts w:hint="eastAsia" w:ascii="宋体" w:hAnsi="宋体" w:eastAsia="宋体" w:cs="宋体"/>
                <w:sz w:val="21"/>
                <w:szCs w:val="21"/>
                <w:lang w:val="en-US" w:eastAsia="zh-CN" w:bidi="ar"/>
              </w:rPr>
              <w:t>元整</w:t>
            </w:r>
          </w:p>
        </w:tc>
        <w:tc>
          <w:tcPr>
            <w:tcW w:w="2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11" w:hRule="atLeast"/>
          <w:jc w:val="center"/>
        </w:trPr>
        <w:tc>
          <w:tcPr>
            <w:tcW w:w="10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安全生产责任保险</w:t>
            </w:r>
          </w:p>
        </w:tc>
        <w:tc>
          <w:tcPr>
            <w:tcW w:w="2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人民币________</w:t>
            </w:r>
            <w:r>
              <w:rPr>
                <w:rStyle w:val="28"/>
                <w:rFonts w:hint="eastAsia" w:ascii="宋体" w:hAnsi="宋体" w:eastAsia="宋体" w:cs="宋体"/>
                <w:sz w:val="21"/>
                <w:szCs w:val="21"/>
                <w:lang w:val="en-US" w:eastAsia="zh-CN" w:bidi="ar"/>
              </w:rPr>
              <w:t>元整</w:t>
            </w:r>
          </w:p>
        </w:tc>
        <w:tc>
          <w:tcPr>
            <w:tcW w:w="2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6" w:hRule="atLeast"/>
          <w:jc w:val="center"/>
        </w:trPr>
        <w:tc>
          <w:tcPr>
            <w:tcW w:w="36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项目总报价</w:t>
            </w:r>
          </w:p>
        </w:tc>
        <w:tc>
          <w:tcPr>
            <w:tcW w:w="29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人民币________</w:t>
            </w:r>
            <w:r>
              <w:rPr>
                <w:rStyle w:val="29"/>
                <w:rFonts w:hint="eastAsia" w:ascii="宋体" w:hAnsi="宋体" w:eastAsia="宋体" w:cs="宋体"/>
                <w:sz w:val="21"/>
                <w:szCs w:val="21"/>
                <w:lang w:val="en-US" w:eastAsia="zh-CN" w:bidi="ar"/>
              </w:rPr>
              <w:t>元整</w:t>
            </w:r>
          </w:p>
        </w:tc>
        <w:tc>
          <w:tcPr>
            <w:tcW w:w="2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￥________</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三、</w:t>
      </w:r>
      <w:r>
        <w:rPr>
          <w:rFonts w:hint="eastAsia" w:ascii="宋体" w:hAnsi="宋体" w:eastAsia="宋体" w:cs="宋体"/>
          <w:sz w:val="21"/>
          <w:szCs w:val="21"/>
        </w:rPr>
        <w:t>我方报价有效期为自提交本报价表起90日历天；如我方中标，报价有效期顺延至保险合同全部义务履行完毕。我方承诺严格按照本需求书要求提供全部保险及配套服务。</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四、</w:t>
      </w:r>
      <w:r>
        <w:rPr>
          <w:rFonts w:hint="eastAsia" w:ascii="宋体" w:hAnsi="宋体" w:eastAsia="宋体" w:cs="宋体"/>
          <w:sz w:val="21"/>
          <w:szCs w:val="21"/>
        </w:rPr>
        <w:t>我方一旦成交，将按规定及时与贵单位签订合同，出具完整保险单证。</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联系人姓名：____________联系电话：____________</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联系地址：____________邮政编码：____________</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报价人名称（加盖公章）：________________</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法定代表人（或授权代理人）签字：________________</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日期：_______年____月____日</w:t>
      </w:r>
    </w:p>
    <w:p>
      <w:pPr>
        <w:adjustRightInd w:val="0"/>
        <w:snapToGrid w:val="0"/>
        <w:spacing w:line="360" w:lineRule="auto"/>
        <w:rPr>
          <w:rFonts w:hint="eastAsia" w:ascii="宋体" w:hAnsi="宋体" w:eastAsia="宋体" w:cs="宋体"/>
          <w:sz w:val="21"/>
          <w:szCs w:val="21"/>
        </w:rPr>
      </w:pPr>
    </w:p>
    <w:p>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79338BA"/>
    <w:rsid w:val="091D611F"/>
    <w:rsid w:val="09973A38"/>
    <w:rsid w:val="0A804B75"/>
    <w:rsid w:val="0EA369CA"/>
    <w:rsid w:val="0F6A0504"/>
    <w:rsid w:val="132A41E4"/>
    <w:rsid w:val="13D47F82"/>
    <w:rsid w:val="16FC296F"/>
    <w:rsid w:val="18634213"/>
    <w:rsid w:val="19303E7B"/>
    <w:rsid w:val="1D57726F"/>
    <w:rsid w:val="20216B20"/>
    <w:rsid w:val="205E51EC"/>
    <w:rsid w:val="25ED5C53"/>
    <w:rsid w:val="25F335AE"/>
    <w:rsid w:val="2683658C"/>
    <w:rsid w:val="2B6B45C8"/>
    <w:rsid w:val="2E20076B"/>
    <w:rsid w:val="32181014"/>
    <w:rsid w:val="32B87506"/>
    <w:rsid w:val="33F050BE"/>
    <w:rsid w:val="35C11115"/>
    <w:rsid w:val="36F4348B"/>
    <w:rsid w:val="3701397E"/>
    <w:rsid w:val="3F0D18CC"/>
    <w:rsid w:val="42EB06A2"/>
    <w:rsid w:val="48004DF8"/>
    <w:rsid w:val="4853074C"/>
    <w:rsid w:val="489921FB"/>
    <w:rsid w:val="4AC51A94"/>
    <w:rsid w:val="4D1025A0"/>
    <w:rsid w:val="505D0913"/>
    <w:rsid w:val="51D21CBC"/>
    <w:rsid w:val="53BC6BEE"/>
    <w:rsid w:val="589C737C"/>
    <w:rsid w:val="5A131CB1"/>
    <w:rsid w:val="6009457B"/>
    <w:rsid w:val="64C90848"/>
    <w:rsid w:val="64FB2EEB"/>
    <w:rsid w:val="65E27932"/>
    <w:rsid w:val="66094DF3"/>
    <w:rsid w:val="6AEF28A7"/>
    <w:rsid w:val="6B0965F4"/>
    <w:rsid w:val="6B6D67B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annotation reference"/>
    <w:uiPriority w:val="0"/>
    <w:rPr>
      <w:sz w:val="21"/>
      <w:szCs w:val="21"/>
    </w:rPr>
  </w:style>
  <w:style w:type="character" w:styleId="19">
    <w:name w:val="footnote reference"/>
    <w:qFormat/>
    <w:uiPriority w:val="0"/>
    <w:rPr>
      <w:vertAlign w:val="superscript"/>
    </w:rPr>
  </w:style>
  <w:style w:type="paragraph" w:customStyle="1" w:styleId="20">
    <w:name w:val="大标题"/>
    <w:basedOn w:val="2"/>
    <w:qFormat/>
    <w:uiPriority w:val="0"/>
    <w:rPr>
      <w:rFonts w:ascii="宋体"/>
      <w:snapToGrid w:val="0"/>
      <w:kern w:val="0"/>
      <w:sz w:val="52"/>
      <w:szCs w:val="72"/>
    </w:rPr>
  </w:style>
  <w:style w:type="paragraph" w:customStyle="1" w:styleId="21">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2">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3">
    <w:name w:val="列出段落"/>
    <w:basedOn w:val="1"/>
    <w:qFormat/>
    <w:uiPriority w:val="0"/>
    <w:pPr>
      <w:ind w:firstLine="420" w:firstLineChars="200"/>
    </w:pPr>
  </w:style>
  <w:style w:type="paragraph" w:customStyle="1" w:styleId="24">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5">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6">
    <w:name w:val="null3"/>
    <w:qFormat/>
    <w:uiPriority w:val="0"/>
    <w:rPr>
      <w:rFonts w:hint="eastAsia" w:ascii="Calibri" w:hAnsi="Calibri" w:eastAsia="宋体" w:cs="Times New Roman"/>
      <w:lang w:val="en-US" w:eastAsia="zh-Hans"/>
    </w:rPr>
  </w:style>
  <w:style w:type="character" w:customStyle="1" w:styleId="27">
    <w:name w:val="NormalCharacter"/>
    <w:semiHidden/>
    <w:qFormat/>
    <w:uiPriority w:val="0"/>
    <w:rPr>
      <w:rFonts w:ascii="Calibri" w:hAnsi="Calibri" w:eastAsia="宋体" w:cs="Times New Roman"/>
      <w:kern w:val="2"/>
      <w:sz w:val="21"/>
      <w:szCs w:val="24"/>
      <w:lang w:val="en-US" w:eastAsia="zh-CN" w:bidi="ar-SA"/>
    </w:rPr>
  </w:style>
  <w:style w:type="character" w:customStyle="1" w:styleId="28">
    <w:name w:val="font41"/>
    <w:basedOn w:val="16"/>
    <w:qFormat/>
    <w:uiPriority w:val="0"/>
    <w:rPr>
      <w:rFonts w:ascii="仿宋_GB2312" w:eastAsia="仿宋_GB2312" w:cs="仿宋_GB2312"/>
      <w:color w:val="000000"/>
      <w:sz w:val="32"/>
      <w:szCs w:val="32"/>
      <w:u w:val="none"/>
    </w:rPr>
  </w:style>
  <w:style w:type="character" w:customStyle="1" w:styleId="29">
    <w:name w:val="font11"/>
    <w:basedOn w:val="16"/>
    <w:qFormat/>
    <w:uiPriority w:val="0"/>
    <w:rPr>
      <w:rFonts w:hint="eastAsia" w:ascii="仿宋_GB2312" w:eastAsia="仿宋_GB2312" w:cs="仿宋_GB2312"/>
      <w:b/>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3866</Words>
  <Characters>3960</Characters>
  <Lines>0</Lines>
  <Paragraphs>0</Paragraphs>
  <TotalTime>2</TotalTime>
  <ScaleCrop>false</ScaleCrop>
  <LinksUpToDate>false</LinksUpToDate>
  <CharactersWithSpaces>4683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2026-09-02T03:26:36Z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