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广州市天河区中医医院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  <w:lang w:val="en-US" w:eastAsia="zh-CN"/>
        </w:rPr>
        <w:t>护士服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采购项目院内比选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>评分标准</w:t>
      </w:r>
    </w:p>
    <w:tbl>
      <w:tblPr>
        <w:tblStyle w:val="2"/>
        <w:tblW w:w="9864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2141"/>
        <w:gridCol w:w="6505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评审因素</w:t>
            </w:r>
          </w:p>
        </w:tc>
        <w:tc>
          <w:tcPr>
            <w:tcW w:w="86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评审标准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分值构成</w:t>
            </w:r>
          </w:p>
        </w:tc>
        <w:tc>
          <w:tcPr>
            <w:tcW w:w="86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技术部分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商务部分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报价得分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技术部分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产品的检测报告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default" w:ascii="宋体" w:hAnsi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(5分）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根据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供应商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提交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样品时，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需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同时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提供202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年1月1日起至本项目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响应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截止日前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第三方检测机构出具的检测报告，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且送检单位为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供应商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，每项检测结果须在同一份检测报告中体现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：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Times New Roman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（一）面料成分与规格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聚酯纤维：93%（±5%），棉7%（±5%）；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克重(g/㎡)：230（±5%）；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密度（根/10cm）（±5%）：经向650，纬向425；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（二）物理机械性能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断裂强力:经向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1700N,纬向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1300N；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顶破强力：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2200N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撕破强力：经向≥42，纬向≥27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水洗尺寸变化率：经向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，纬向不超过 -3% ~ +1%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接触瞬间凉感性能≥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J/（cm².s）；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（三）化学安全与色牢度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PH值4.0~8.5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起球≥4级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可分解致癌芳香胺染料未检出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、无异味、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甲醛未检出；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耐摩擦色牢度、耐水色牢度、耐汗渍色牢度≥4,符合GB18401-2010《国家纺织产品基本安全技术规范》B类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每针对一项提供满足以上检测项目要求的检测报告，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每负偏离一项(共10项）扣0.5分，扣完为止</w:t>
            </w:r>
            <w:r>
              <w:rPr>
                <w:rFonts w:hint="eastAsia" w:ascii="宋体" w:hAnsi="宋体" w:eastAsia="宋体" w:cs="Times New Roman"/>
                <w:szCs w:val="21"/>
              </w:rPr>
              <w:t>，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共5分</w:t>
            </w:r>
            <w:r>
              <w:rPr>
                <w:rFonts w:hint="eastAsia" w:ascii="宋体" w:hAnsi="宋体" w:eastAsia="宋体" w:cs="Times New Roman"/>
                <w:szCs w:val="21"/>
              </w:rPr>
              <w:t>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投标样品情况1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分）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根据样品面料的质量、手感及是否有异味等进行综合评审：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Times New Roman"/>
                <w:szCs w:val="21"/>
              </w:rPr>
              <w:t>样品的面料质量好，手感舒适，无明显异味，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缩水率等</w:t>
            </w:r>
            <w:r>
              <w:rPr>
                <w:rFonts w:hint="eastAsia" w:ascii="宋体" w:hAnsi="宋体" w:eastAsia="宋体" w:cs="Times New Roman"/>
                <w:szCs w:val="21"/>
              </w:rPr>
              <w:t>完全符合或优于采购人要求，得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Times New Roman"/>
                <w:szCs w:val="21"/>
              </w:rPr>
              <w:t>样品的面料质量较好，手感较舒适，无明显异味，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缩水率等</w:t>
            </w:r>
            <w:r>
              <w:rPr>
                <w:rFonts w:hint="eastAsia" w:ascii="宋体" w:hAnsi="宋体" w:eastAsia="宋体" w:cs="Times New Roman"/>
                <w:szCs w:val="21"/>
              </w:rPr>
              <w:t>符合采购人要求，得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3、</w:t>
            </w:r>
            <w:r>
              <w:rPr>
                <w:rFonts w:hint="eastAsia" w:ascii="宋体" w:hAnsi="宋体" w:eastAsia="宋体" w:cs="Times New Roman"/>
                <w:szCs w:val="21"/>
              </w:rPr>
              <w:t>样品的面料质量较差，手感较差，有轻微异味，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缩水率等</w:t>
            </w:r>
            <w:r>
              <w:rPr>
                <w:rFonts w:hint="eastAsia" w:ascii="宋体" w:hAnsi="宋体" w:eastAsia="宋体" w:cs="Times New Roman"/>
                <w:szCs w:val="21"/>
              </w:rPr>
              <w:t>基本符合采购人要求，得1分。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4、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样品提供不全或未提供或样品不符合要求的</w:t>
            </w:r>
            <w:r>
              <w:rPr>
                <w:rFonts w:hint="eastAsia" w:ascii="宋体" w:hAnsi="宋体" w:eastAsia="宋体" w:cs="Times New Roman"/>
                <w:szCs w:val="21"/>
              </w:rPr>
              <w:t>不得分。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投标样品情况2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分）</w:t>
            </w:r>
          </w:p>
        </w:tc>
        <w:tc>
          <w:tcPr>
            <w:tcW w:w="6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根据样品缝制质量和工艺水平（是否明线顺直、线孔整齐、无脱线、无断缝、无跳针、无明显针眼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、款式、颜色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等）进行综合评审：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1、样品的缝制质量和工艺水平精湛，完全符合或优于采购人要求，得5分；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2、样品的缝制质量和工艺水平良好，符合采购人要求，得2分；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3、样品的缝制质量和工艺水平较差，基本符合采购人要求，得1分。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4、样品提供不全或未提供或样品不符合要求的</w:t>
            </w:r>
            <w:r>
              <w:rPr>
                <w:rFonts w:hint="eastAsia" w:ascii="宋体" w:hAnsi="宋体" w:eastAsia="宋体" w:cs="Times New Roman"/>
                <w:szCs w:val="21"/>
              </w:rPr>
              <w:t>不得分。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对采购人订单的安排生产流程、交货期、质量保证的措施与</w:t>
            </w:r>
            <w:r>
              <w:rPr>
                <w:rFonts w:hint="eastAsia" w:ascii="宋体" w:hAnsi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/>
                <w:szCs w:val="21"/>
              </w:rPr>
              <w:t>对本招标项目实施方案、生产管理制度、流程等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10分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对采购人订单的安排生产流程、交货期、质量保证的措施与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eastAsia="宋体" w:cs="Times New Roman"/>
                <w:szCs w:val="21"/>
              </w:rPr>
              <w:t>对本招标项目实施方案、生产管理制度、流程等进行评审：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全面、具体、合理得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Times New Roman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基本合理、但不够详细得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不够充分合理得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未提供，得0分。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供应商</w:t>
            </w:r>
            <w:r>
              <w:rPr>
                <w:rFonts w:ascii="宋体" w:hAnsi="宋体"/>
              </w:rPr>
              <w:t>对项目的整体实施计划、人力物力的配置组织方案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（10分）</w:t>
            </w:r>
          </w:p>
        </w:tc>
        <w:tc>
          <w:tcPr>
            <w:tcW w:w="6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根据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提供的项目实施计划(包括项目管理及进度安排、质量保证措施、检测方案等)进行评审：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项目实施计划详细可行、质量保证措施完整，得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Times New Roman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Times New Roman"/>
                <w:szCs w:val="21"/>
              </w:rPr>
              <w:t>项目实施计划部分可取、有基本的质量保证措施，得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分；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3、</w:t>
            </w:r>
            <w:r>
              <w:rPr>
                <w:rFonts w:hint="eastAsia" w:ascii="宋体" w:hAnsi="宋体" w:eastAsia="宋体" w:cs="Times New Roman"/>
                <w:szCs w:val="21"/>
              </w:rPr>
              <w:t>项目实施计划不适用，得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4、</w:t>
            </w:r>
            <w:r>
              <w:rPr>
                <w:rFonts w:hint="eastAsia" w:ascii="宋体" w:hAnsi="宋体" w:eastAsia="宋体" w:cs="Times New Roman"/>
                <w:szCs w:val="21"/>
              </w:rPr>
              <w:t>不提供不得分。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供应商</w:t>
            </w:r>
            <w:r>
              <w:rPr>
                <w:rFonts w:ascii="宋体" w:hAnsi="宋体" w:eastAsia="宋体" w:cs="Times New Roman"/>
              </w:rPr>
              <w:t>对项目的整体实施计划、人力物力的配置组织方案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（10分）</w:t>
            </w:r>
          </w:p>
        </w:tc>
        <w:tc>
          <w:tcPr>
            <w:tcW w:w="6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根据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提供的人力物力的配置组织方案(包括管理组织架构、项目实施人员的技术水平)进行评审：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人力物力配备齐全及组织方案详细可行，得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Times New Roman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Times New Roman"/>
                <w:szCs w:val="21"/>
              </w:rPr>
              <w:t>人力物力配备较齐全及组织方案详细一般可行，得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szCs w:val="21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3、</w:t>
            </w:r>
            <w:r>
              <w:rPr>
                <w:rFonts w:hint="eastAsia" w:ascii="宋体" w:hAnsi="宋体" w:eastAsia="宋体" w:cs="Times New Roman"/>
                <w:szCs w:val="21"/>
              </w:rPr>
              <w:t>人力物力配备欠缺及组织方案粗略、不可行，得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4、</w:t>
            </w:r>
            <w:r>
              <w:rPr>
                <w:rFonts w:hint="eastAsia" w:ascii="宋体" w:hAnsi="宋体" w:eastAsia="宋体" w:cs="Times New Roman"/>
                <w:szCs w:val="21"/>
              </w:rPr>
              <w:t>不提供不得分。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商务部分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同类项目业绩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5分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提供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2023</w:t>
            </w:r>
            <w:r>
              <w:rPr>
                <w:rFonts w:hint="eastAsia" w:ascii="宋体" w:hAnsi="宋体"/>
                <w:szCs w:val="21"/>
              </w:rPr>
              <w:t>年以来的同类项目业绩，每提供一份得1分；满分5分。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/>
                <w:szCs w:val="21"/>
              </w:rPr>
              <w:t>【</w:t>
            </w:r>
            <w:r>
              <w:rPr>
                <w:rFonts w:hint="eastAsia" w:ascii="宋体" w:hAnsi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/>
                <w:szCs w:val="21"/>
              </w:rPr>
              <w:t>提供业绩合同关键页（含项目名称、项目内容、甲乙双方签字盖章页）作为证明文件】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用户评价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5分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/>
                <w:szCs w:val="21"/>
              </w:rPr>
              <w:t>具有202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年以来的用户评价材料，每提供一份得1分；满分5分。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（1）须提供用户评价材料复印件，评价材料必须达到90分或带有“满意”或“好评”或“优秀”等相关正面评价字眼，同一个用户不可累积计分；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/>
                <w:szCs w:val="21"/>
              </w:rPr>
              <w:t>（2）评价材料必须与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有效</w:t>
            </w:r>
            <w:r>
              <w:rPr>
                <w:rFonts w:hint="eastAsia" w:ascii="宋体" w:hAnsi="宋体"/>
                <w:szCs w:val="21"/>
              </w:rPr>
              <w:t>同类项目业绩相对应，否则不得分。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/>
                <w:szCs w:val="21"/>
              </w:rPr>
              <w:t>认证情况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6分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供应商</w:t>
            </w:r>
            <w:r>
              <w:rPr>
                <w:rFonts w:hint="eastAsia" w:ascii="宋体" w:hAnsi="宋体"/>
                <w:szCs w:val="21"/>
              </w:rPr>
              <w:t>具有质量管理体系认证、环境管理体系认证、职业健康安全管理体系认证，每个证书2分，满分6分。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【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注：（1）</w:t>
            </w:r>
            <w:r>
              <w:rPr>
                <w:rFonts w:hint="eastAsia" w:ascii="宋体" w:hAnsi="宋体"/>
                <w:szCs w:val="21"/>
              </w:rPr>
              <w:t>须提供证书复印件以及在全国认证认可信息公共服务平台上</w:t>
            </w:r>
            <w:r>
              <w:rPr>
                <w:rFonts w:ascii="宋体" w:hAnsi="宋体"/>
                <w:szCs w:val="21"/>
              </w:rPr>
              <w:t>http://cx.cnca.cn</w:t>
            </w:r>
            <w:r>
              <w:rPr>
                <w:rFonts w:hint="eastAsia" w:ascii="宋体" w:hAnsi="宋体"/>
                <w:szCs w:val="21"/>
              </w:rPr>
              <w:t>查询结果的截图，证书状态必须为“有效”</w:t>
            </w:r>
            <w:r>
              <w:rPr>
                <w:rFonts w:hint="eastAsia" w:ascii="宋体" w:hAnsi="宋体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（2）新设立企业由于成立时间不足3个月导致未获得证书的，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提供相关证明材料可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相应得分</w:t>
            </w:r>
            <w:r>
              <w:rPr>
                <w:rFonts w:hint="eastAsia" w:ascii="宋体" w:hAnsi="宋体"/>
                <w:szCs w:val="21"/>
                <w:lang w:eastAsia="zh-CN"/>
              </w:rPr>
              <w:t>】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售后服务方案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9分</w:t>
            </w:r>
            <w:r>
              <w:rPr>
                <w:rFonts w:hint="eastAsia" w:ascii="宋体" w:hAnsi="宋体" w:eastAsia="宋体" w:cs="Times New Roman"/>
                <w:lang w:eastAsia="zh-CN"/>
              </w:rPr>
              <w:t>）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line="360" w:lineRule="auto"/>
              <w:ind w:left="100" w:lef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据供应商针对本项目提供的售后服务方案（包括但不限于破损产品退换、保修范围、服务能力、服务效率、服务标准等方面）进行综合评审：</w:t>
            </w:r>
          </w:p>
          <w:p>
            <w:pPr>
              <w:pStyle w:val="4"/>
              <w:numPr>
                <w:ilvl w:val="0"/>
                <w:numId w:val="0"/>
              </w:numPr>
              <w:spacing w:line="360" w:lineRule="auto"/>
              <w:ind w:left="100" w:lef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1、售后服务方案详细、完整、科学、合理、可行性高，优于且完全满足采购要求的，得9分；</w:t>
            </w:r>
          </w:p>
          <w:p>
            <w:pPr>
              <w:pStyle w:val="4"/>
              <w:numPr>
                <w:ilvl w:val="0"/>
                <w:numId w:val="0"/>
              </w:numPr>
              <w:spacing w:line="360" w:lineRule="auto"/>
              <w:ind w:left="100" w:lef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2、售后服务方案比较详细、比较完整、比较科学、比较合理，可行性较高，完全满足采购要求的，得5分；</w:t>
            </w:r>
          </w:p>
          <w:p>
            <w:pPr>
              <w:pStyle w:val="4"/>
              <w:numPr>
                <w:ilvl w:val="0"/>
                <w:numId w:val="0"/>
              </w:numPr>
              <w:spacing w:line="360" w:lineRule="auto"/>
              <w:ind w:left="100" w:lef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3、售后服务方案不够详细、不完整、不合理，可行性低，部分满足采购要求的，得2分；</w:t>
            </w:r>
          </w:p>
          <w:p>
            <w:pPr>
              <w:pStyle w:val="4"/>
              <w:numPr>
                <w:ilvl w:val="0"/>
                <w:numId w:val="0"/>
              </w:numPr>
              <w:spacing w:line="360" w:lineRule="auto"/>
              <w:ind w:left="100" w:leftChars="0"/>
              <w:jc w:val="left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4、未提供不得分。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报价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报价得分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分)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eastAsia" w:ascii="宋体" w:hAnsi="宋体" w:eastAsia="宋体" w:cs="Times New Roman"/>
                <w:highlight w:val="none"/>
              </w:rPr>
            </w:pPr>
            <w:r>
              <w:rPr>
                <w:rFonts w:hint="eastAsia" w:ascii="宋体" w:hAnsi="宋体" w:eastAsia="宋体" w:cs="Times New Roman"/>
                <w:highlight w:val="none"/>
              </w:rPr>
              <w:t>价格得分采用低价优先法计算，即满足招标文件要求且价格最低的评标折扣为评标基准折扣（评标折扣指按照招标文件条款修正后的折扣），价格得分为30分，其他</w:t>
            </w:r>
            <w:r>
              <w:rPr>
                <w:rFonts w:hint="eastAsia" w:ascii="宋体" w:hAnsi="宋体" w:eastAsia="宋体" w:cs="Times New Roman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Times New Roman"/>
                <w:highlight w:val="none"/>
              </w:rPr>
              <w:t>的价格得分按如下公式计算：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left"/>
              <w:textAlignment w:val="auto"/>
              <w:rPr>
                <w:rFonts w:hint="default" w:ascii="宋体" w:hAnsi="宋体" w:eastAsia="宋体" w:cs="Times New Roman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</w:rPr>
              <w:t>价格得分=（评标基准折扣÷评标折扣）×30。</w:t>
            </w:r>
          </w:p>
        </w:tc>
      </w:tr>
    </w:tbl>
    <w:p/>
    <w:p/>
    <w:sectPr>
      <w:pgSz w:w="11906" w:h="16838"/>
      <w:pgMar w:top="1134" w:right="1800" w:bottom="1134" w:left="1800" w:header="851" w:footer="992" w:gutter="0"/>
      <w:paperSrc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E93E8C"/>
    <w:multiLevelType w:val="singleLevel"/>
    <w:tmpl w:val="8EE93E8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A5C3C33"/>
    <w:multiLevelType w:val="singleLevel"/>
    <w:tmpl w:val="AA5C3C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 w:val="1"/>
  <w:bordersDoNotSurroundFooter w:val="1"/>
  <w:trackRevisions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02732"/>
    <w:rsid w:val="05D83843"/>
    <w:rsid w:val="1F091EF6"/>
    <w:rsid w:val="32AE1A14"/>
    <w:rsid w:val="54A55FDB"/>
    <w:rsid w:val="64566B86"/>
    <w:rsid w:val="67B20133"/>
    <w:rsid w:val="68002732"/>
    <w:rsid w:val="6C17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区卫生和计划生育局</Company>
  <Pages>4</Pages>
  <Words>1990</Words>
  <Characters>2111</Characters>
  <Lines>0</Lines>
  <Paragraphs>0</Paragraphs>
  <TotalTime>8</TotalTime>
  <ScaleCrop>false</ScaleCrop>
  <LinksUpToDate>false</LinksUpToDate>
  <CharactersWithSpaces>2117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2026-07-13T03:25:00Z</dcterms:created>
  <dc:creator>袁小磊</dc:creator>
  <cp:lastModifiedBy>办公室</cp:lastModifiedBy>
  <dcterms:modified xsi:type="dcterms:W3CDTF">2026-09-01T07:12:42Z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608AC64F9B284141A7794A674B7F7F5A_11</vt:lpwstr>
  </property>
  <property fmtid="{D5CDD505-2E9C-101B-9397-08002B2CF9AE}" pid="4" name="KSOTemplateDocerSaveRecord">
    <vt:lpwstr>eyJoZGlkIjoiOTc2OWE0Y2VkN2ZhMjBjMGU5ODljMTIzNmMwYzA4OWYiLCJ1c2VySWQiOiI2NDc4NTcyODAifQ==</vt:lpwstr>
  </property>
</Properties>
</file>