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DF4B1">
      <w:pPr>
        <w:snapToGrid w:val="0"/>
        <w:spacing w:beforeLines="50" w:afterLines="50" w:line="360" w:lineRule="auto"/>
        <w:ind w:firstLine="3360" w:firstLineChars="1200"/>
        <w:jc w:val="both"/>
        <w:outlineLvl w:val="2"/>
        <w:rPr>
          <w:rFonts w:hint="eastAsia" w:ascii="黑体" w:hAnsi="宋体" w:eastAsia="黑体" w:cs="宋体"/>
          <w:sz w:val="28"/>
          <w:szCs w:val="28"/>
        </w:rPr>
      </w:pPr>
      <w:r>
        <w:rPr>
          <w:rFonts w:hint="eastAsia" w:ascii="黑体" w:hAnsi="宋体" w:eastAsia="黑体" w:cs="宋体"/>
          <w:sz w:val="28"/>
          <w:szCs w:val="28"/>
        </w:rPr>
        <w:t>综合评分表</w:t>
      </w:r>
    </w:p>
    <w:p w14:paraId="0571394F">
      <w:pPr>
        <w:spacing w:beforeLines="0" w:afterLines="0" w:line="360" w:lineRule="auto"/>
        <w:jc w:val="center"/>
        <w:rPr>
          <w:rFonts w:hint="eastAsia" w:ascii="宋体" w:hAnsi="宋体" w:eastAsia="宋体"/>
          <w:b/>
          <w:sz w:val="21"/>
          <w:szCs w:val="21"/>
        </w:rPr>
      </w:pPr>
      <w:r>
        <w:rPr>
          <w:rFonts w:hint="eastAsia" w:ascii="宋体" w:hAnsi="宋体"/>
          <w:b/>
          <w:sz w:val="21"/>
          <w:szCs w:val="21"/>
        </w:rPr>
        <w:t xml:space="preserve"> 商务评分表（20分）</w:t>
      </w:r>
    </w:p>
    <w:tbl>
      <w:tblPr>
        <w:tblStyle w:val="4"/>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108" w:type="dxa"/>
          <w:bottom w:w="28" w:type="dxa"/>
          <w:right w:w="108" w:type="dxa"/>
        </w:tblCellMar>
      </w:tblPr>
      <w:tblGrid>
        <w:gridCol w:w="1383"/>
        <w:gridCol w:w="5435"/>
        <w:gridCol w:w="848"/>
        <w:gridCol w:w="848"/>
      </w:tblGrid>
      <w:tr w14:paraId="6BF880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567" w:hRule="exact"/>
          <w:tblHeader/>
        </w:trPr>
        <w:tc>
          <w:tcPr>
            <w:tcW w:w="1383"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2E8F47B0">
            <w:pPr>
              <w:snapToGrid w:val="0"/>
              <w:spacing w:beforeLines="0" w:afterLines="0" w:line="280" w:lineRule="exact"/>
              <w:jc w:val="center"/>
              <w:rPr>
                <w:rFonts w:hint="eastAsia" w:ascii="宋体" w:eastAsia="宋体"/>
                <w:b/>
                <w:sz w:val="21"/>
                <w:szCs w:val="24"/>
              </w:rPr>
            </w:pPr>
            <w:r>
              <w:rPr>
                <w:rFonts w:hint="eastAsia" w:ascii="宋体" w:hAnsi="宋体" w:cs="宋体"/>
                <w:b/>
                <w:sz w:val="21"/>
                <w:szCs w:val="24"/>
              </w:rPr>
              <w:t>评审项目</w:t>
            </w:r>
          </w:p>
        </w:tc>
        <w:tc>
          <w:tcPr>
            <w:tcW w:w="5435"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2445B2CD">
            <w:pPr>
              <w:snapToGrid w:val="0"/>
              <w:spacing w:beforeLines="0" w:afterLines="0" w:line="280" w:lineRule="exact"/>
              <w:jc w:val="center"/>
              <w:rPr>
                <w:rFonts w:hint="eastAsia" w:ascii="宋体" w:eastAsia="宋体"/>
                <w:b/>
                <w:sz w:val="21"/>
                <w:szCs w:val="24"/>
              </w:rPr>
            </w:pPr>
            <w:r>
              <w:rPr>
                <w:rFonts w:hint="eastAsia" w:ascii="宋体" w:hAnsi="宋体" w:cs="宋体"/>
                <w:b/>
                <w:sz w:val="21"/>
                <w:szCs w:val="24"/>
              </w:rPr>
              <w:t>评分标准</w:t>
            </w:r>
          </w:p>
        </w:tc>
        <w:tc>
          <w:tcPr>
            <w:tcW w:w="848"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6C56321A">
            <w:pPr>
              <w:widowControl/>
              <w:snapToGrid w:val="0"/>
              <w:spacing w:beforeLines="0" w:afterLines="0" w:line="280" w:lineRule="exact"/>
              <w:jc w:val="center"/>
              <w:rPr>
                <w:rFonts w:hint="eastAsia" w:ascii="宋体" w:eastAsia="宋体"/>
                <w:b/>
                <w:sz w:val="21"/>
                <w:szCs w:val="24"/>
              </w:rPr>
            </w:pPr>
            <w:r>
              <w:rPr>
                <w:rFonts w:hint="eastAsia" w:ascii="宋体" w:hAnsi="宋体" w:cs="宋体"/>
                <w:b/>
                <w:sz w:val="21"/>
                <w:szCs w:val="24"/>
              </w:rPr>
              <w:t>分值</w:t>
            </w:r>
          </w:p>
        </w:tc>
        <w:tc>
          <w:tcPr>
            <w:tcW w:w="848" w:type="dxa"/>
            <w:tcBorders>
              <w:top w:val="single" w:color="auto" w:sz="12" w:space="0"/>
              <w:left w:val="single" w:color="auto" w:sz="6" w:space="0"/>
              <w:bottom w:val="single" w:color="auto" w:sz="6" w:space="0"/>
              <w:right w:val="single" w:color="auto" w:sz="12" w:space="0"/>
              <w:tl2br w:val="nil"/>
              <w:tr2bl w:val="nil"/>
            </w:tcBorders>
            <w:noWrap w:val="0"/>
            <w:vAlign w:val="center"/>
          </w:tcPr>
          <w:p w14:paraId="77DAD70F">
            <w:pPr>
              <w:snapToGrid w:val="0"/>
              <w:spacing w:beforeLines="0" w:afterLines="0" w:line="280" w:lineRule="exact"/>
              <w:jc w:val="center"/>
              <w:rPr>
                <w:rFonts w:hint="eastAsia" w:ascii="宋体" w:eastAsia="宋体"/>
                <w:b/>
                <w:sz w:val="21"/>
                <w:szCs w:val="24"/>
              </w:rPr>
            </w:pPr>
            <w:r>
              <w:rPr>
                <w:rFonts w:hint="eastAsia" w:ascii="宋体" w:hAnsi="宋体" w:cs="宋体"/>
                <w:b/>
                <w:sz w:val="21"/>
                <w:szCs w:val="24"/>
              </w:rPr>
              <w:t>评分</w:t>
            </w:r>
          </w:p>
        </w:tc>
      </w:tr>
      <w:tr w14:paraId="717FFA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1157" w:hRule="atLeast"/>
        </w:trPr>
        <w:tc>
          <w:tcPr>
            <w:tcW w:w="138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10C607B">
            <w:pPr>
              <w:spacing w:beforeLines="0" w:afterLines="0"/>
              <w:jc w:val="center"/>
              <w:rPr>
                <w:rFonts w:hint="eastAsia" w:ascii="宋体" w:hAnsi="宋体" w:eastAsia="宋体"/>
                <w:color w:val="000000"/>
                <w:sz w:val="21"/>
                <w:szCs w:val="21"/>
                <w:highlight w:val="none"/>
              </w:rPr>
            </w:pPr>
            <w:r>
              <w:rPr>
                <w:rFonts w:hint="eastAsia" w:ascii="宋体" w:hAnsi="宋体"/>
                <w:sz w:val="21"/>
                <w:szCs w:val="24"/>
                <w:highlight w:val="none"/>
              </w:rPr>
              <w:t>同类项目业绩情况</w:t>
            </w:r>
          </w:p>
        </w:tc>
        <w:tc>
          <w:tcPr>
            <w:tcW w:w="5435" w:type="dxa"/>
            <w:tcBorders>
              <w:top w:val="single" w:color="auto" w:sz="6" w:space="0"/>
              <w:left w:val="single" w:color="auto" w:sz="6" w:space="0"/>
              <w:bottom w:val="single" w:color="auto" w:sz="4" w:space="0"/>
              <w:right w:val="single" w:color="auto" w:sz="6" w:space="0"/>
              <w:tl2br w:val="nil"/>
              <w:tr2bl w:val="nil"/>
            </w:tcBorders>
            <w:noWrap w:val="0"/>
            <w:vAlign w:val="center"/>
          </w:tcPr>
          <w:p w14:paraId="4B841BCF">
            <w:pPr>
              <w:spacing w:beforeLines="0" w:afterLines="0" w:line="360" w:lineRule="auto"/>
              <w:jc w:val="left"/>
              <w:rPr>
                <w:rFonts w:hint="eastAsia" w:ascii="宋体" w:hAnsi="宋体" w:eastAsia="宋体"/>
                <w:sz w:val="21"/>
                <w:szCs w:val="24"/>
                <w:highlight w:val="none"/>
              </w:rPr>
            </w:pPr>
            <w:r>
              <w:rPr>
                <w:rFonts w:hint="eastAsia" w:ascii="宋体" w:hAnsi="宋体"/>
                <w:sz w:val="21"/>
                <w:szCs w:val="24"/>
                <w:highlight w:val="none"/>
              </w:rPr>
              <w:t>2023年至今（以合同签订时间为准），供应商承接过同类项目业绩，每项得</w:t>
            </w:r>
            <w:r>
              <w:rPr>
                <w:rFonts w:hint="eastAsia" w:ascii="宋体" w:hAnsi="宋体"/>
                <w:sz w:val="21"/>
                <w:szCs w:val="24"/>
                <w:highlight w:val="none"/>
                <w:lang w:val="en-US" w:eastAsia="zh-CN"/>
              </w:rPr>
              <w:t>2</w:t>
            </w:r>
            <w:r>
              <w:rPr>
                <w:rFonts w:hint="eastAsia" w:ascii="宋体" w:hAnsi="宋体"/>
                <w:sz w:val="21"/>
                <w:szCs w:val="24"/>
                <w:highlight w:val="none"/>
              </w:rPr>
              <w:t>分，本小项最高得</w:t>
            </w:r>
            <w:r>
              <w:rPr>
                <w:rFonts w:hint="eastAsia" w:ascii="宋体" w:hAnsi="宋体"/>
                <w:sz w:val="21"/>
                <w:szCs w:val="24"/>
                <w:highlight w:val="none"/>
                <w:lang w:val="en-US" w:eastAsia="zh-CN"/>
              </w:rPr>
              <w:t>8</w:t>
            </w:r>
            <w:r>
              <w:rPr>
                <w:rFonts w:hint="eastAsia" w:ascii="宋体" w:hAnsi="宋体"/>
                <w:sz w:val="21"/>
                <w:szCs w:val="24"/>
                <w:highlight w:val="none"/>
              </w:rPr>
              <w:t>分。</w:t>
            </w:r>
            <w:r>
              <w:rPr>
                <w:rFonts w:hint="eastAsia" w:ascii="宋体" w:hAnsi="宋体" w:eastAsia="宋体"/>
                <w:sz w:val="21"/>
                <w:szCs w:val="24"/>
                <w:highlight w:val="none"/>
              </w:rPr>
              <w:t xml:space="preserve"> </w:t>
            </w:r>
          </w:p>
          <w:p w14:paraId="329F5958">
            <w:pPr>
              <w:spacing w:beforeLines="0" w:afterLines="0" w:line="360" w:lineRule="auto"/>
              <w:jc w:val="left"/>
              <w:rPr>
                <w:rFonts w:hint="eastAsia" w:ascii="宋体" w:hAnsi="宋体" w:eastAsia="宋体"/>
                <w:color w:val="000000"/>
                <w:sz w:val="21"/>
                <w:szCs w:val="21"/>
                <w:highlight w:val="none"/>
              </w:rPr>
            </w:pPr>
            <w:r>
              <w:rPr>
                <w:rFonts w:hint="eastAsia" w:ascii="宋体" w:hAnsi="宋体"/>
                <w:sz w:val="21"/>
                <w:szCs w:val="24"/>
                <w:highlight w:val="none"/>
              </w:rPr>
              <w:t>注：同类项目业绩是指消防改造项目或消防维修项目，提供合同或协议关键页复印件或扫描件，完成时间以合同文件为准。</w:t>
            </w:r>
          </w:p>
        </w:tc>
        <w:tc>
          <w:tcPr>
            <w:tcW w:w="848" w:type="dxa"/>
            <w:tcBorders>
              <w:top w:val="single" w:color="auto" w:sz="6" w:space="0"/>
              <w:left w:val="single" w:color="auto" w:sz="6" w:space="0"/>
              <w:bottom w:val="single" w:color="auto" w:sz="4" w:space="0"/>
              <w:right w:val="single" w:color="auto" w:sz="6" w:space="0"/>
              <w:tl2br w:val="nil"/>
              <w:tr2bl w:val="nil"/>
            </w:tcBorders>
            <w:noWrap w:val="0"/>
            <w:vAlign w:val="center"/>
          </w:tcPr>
          <w:p w14:paraId="25EC3AE5">
            <w:pPr>
              <w:snapToGrid w:val="0"/>
              <w:spacing w:before="50" w:beforeLines="0" w:afterLines="0" w:line="360" w:lineRule="auto"/>
              <w:jc w:val="center"/>
              <w:rPr>
                <w:rFonts w:hint="eastAsia" w:ascii="宋体" w:hAnsi="宋体" w:eastAsia="宋体"/>
                <w:color w:val="000000"/>
                <w:sz w:val="21"/>
                <w:szCs w:val="21"/>
                <w:highlight w:val="none"/>
                <w:lang w:eastAsia="zh-CN"/>
              </w:rPr>
            </w:pPr>
            <w:r>
              <w:rPr>
                <w:rFonts w:hint="eastAsia" w:ascii="宋体" w:hAnsi="宋体" w:eastAsia="宋体"/>
                <w:sz w:val="21"/>
                <w:szCs w:val="21"/>
                <w:highlight w:val="none"/>
                <w:lang w:val="en-US" w:eastAsia="zh-CN"/>
              </w:rPr>
              <w:t>8</w:t>
            </w:r>
          </w:p>
        </w:tc>
        <w:tc>
          <w:tcPr>
            <w:tcW w:w="848" w:type="dxa"/>
            <w:tcBorders>
              <w:top w:val="single" w:color="auto" w:sz="6" w:space="0"/>
              <w:left w:val="single" w:color="auto" w:sz="6" w:space="0"/>
              <w:bottom w:val="single" w:color="auto" w:sz="4" w:space="0"/>
              <w:right w:val="single" w:color="auto" w:sz="12" w:space="0"/>
              <w:tl2br w:val="nil"/>
              <w:tr2bl w:val="nil"/>
            </w:tcBorders>
            <w:noWrap w:val="0"/>
            <w:vAlign w:val="center"/>
          </w:tcPr>
          <w:p w14:paraId="441F7E78">
            <w:pPr>
              <w:snapToGrid w:val="0"/>
              <w:spacing w:beforeLines="0" w:afterLines="0" w:line="280" w:lineRule="exact"/>
              <w:ind w:left="210" w:leftChars="100"/>
              <w:jc w:val="center"/>
              <w:rPr>
                <w:rFonts w:hint="eastAsia" w:ascii="宋体" w:eastAsia="宋体"/>
                <w:color w:val="3366FF"/>
                <w:kern w:val="0"/>
                <w:sz w:val="21"/>
                <w:szCs w:val="24"/>
              </w:rPr>
            </w:pPr>
          </w:p>
        </w:tc>
      </w:tr>
      <w:tr w14:paraId="38781E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780" w:hRule="atLeast"/>
        </w:trPr>
        <w:tc>
          <w:tcPr>
            <w:tcW w:w="138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84137F9">
            <w:pPr>
              <w:adjustRightInd w:val="0"/>
              <w:snapToGrid w:val="0"/>
              <w:spacing w:beforeLines="0" w:afterLines="0" w:line="360" w:lineRule="auto"/>
              <w:jc w:val="center"/>
              <w:rPr>
                <w:rFonts w:hint="eastAsia" w:ascii="宋体" w:hAnsi="宋体" w:eastAsia="宋体"/>
                <w:sz w:val="21"/>
                <w:szCs w:val="21"/>
              </w:rPr>
            </w:pPr>
            <w:r>
              <w:rPr>
                <w:rFonts w:hint="eastAsia" w:ascii="宋体" w:hAnsi="宋体"/>
                <w:sz w:val="21"/>
                <w:szCs w:val="21"/>
              </w:rPr>
              <w:t>拟投入项目团队人员情况</w:t>
            </w:r>
          </w:p>
        </w:tc>
        <w:tc>
          <w:tcPr>
            <w:tcW w:w="5435" w:type="dxa"/>
            <w:tcBorders>
              <w:top w:val="single" w:color="auto" w:sz="6" w:space="0"/>
              <w:left w:val="single" w:color="auto" w:sz="6" w:space="0"/>
              <w:bottom w:val="single" w:color="auto" w:sz="4" w:space="0"/>
              <w:right w:val="single" w:color="auto" w:sz="6" w:space="0"/>
              <w:tl2br w:val="nil"/>
              <w:tr2bl w:val="nil"/>
            </w:tcBorders>
            <w:noWrap w:val="0"/>
            <w:vAlign w:val="center"/>
          </w:tcPr>
          <w:p w14:paraId="7D44476C">
            <w:pPr>
              <w:widowControl/>
              <w:adjustRightInd w:val="0"/>
              <w:snapToGrid w:val="0"/>
              <w:spacing w:beforeLines="0" w:afterLines="0" w:line="360" w:lineRule="auto"/>
              <w:rPr>
                <w:rFonts w:hint="eastAsia" w:ascii="宋体" w:hAnsi="宋体" w:eastAsia="宋体"/>
                <w:sz w:val="21"/>
                <w:szCs w:val="21"/>
              </w:rPr>
            </w:pPr>
            <w:r>
              <w:rPr>
                <w:rFonts w:hint="eastAsia" w:ascii="宋体" w:hAnsi="宋体"/>
                <w:sz w:val="21"/>
                <w:szCs w:val="21"/>
              </w:rPr>
              <w:t>1）项目负责人：具有机电相关专业中级技术职称得</w:t>
            </w:r>
            <w:r>
              <w:rPr>
                <w:rFonts w:hint="eastAsia" w:ascii="宋体" w:hAnsi="宋体"/>
                <w:sz w:val="21"/>
                <w:szCs w:val="21"/>
                <w:lang w:val="en-US" w:eastAsia="zh-CN"/>
              </w:rPr>
              <w:t>3</w:t>
            </w:r>
            <w:r>
              <w:rPr>
                <w:rFonts w:hint="eastAsia" w:ascii="宋体" w:hAnsi="宋体"/>
                <w:sz w:val="21"/>
                <w:szCs w:val="21"/>
              </w:rPr>
              <w:t>分具有机电相关专业职称得</w:t>
            </w:r>
            <w:r>
              <w:rPr>
                <w:rFonts w:hint="eastAsia" w:ascii="宋体" w:hAnsi="宋体"/>
                <w:sz w:val="21"/>
                <w:szCs w:val="21"/>
                <w:lang w:val="en-US" w:eastAsia="zh-CN"/>
              </w:rPr>
              <w:t>1</w:t>
            </w:r>
            <w:r>
              <w:rPr>
                <w:rFonts w:hint="eastAsia" w:ascii="宋体" w:hAnsi="宋体"/>
                <w:sz w:val="21"/>
                <w:szCs w:val="21"/>
              </w:rPr>
              <w:t>分</w:t>
            </w:r>
            <w:r>
              <w:rPr>
                <w:rFonts w:hint="eastAsia" w:ascii="宋体" w:hAnsi="宋体"/>
                <w:sz w:val="21"/>
                <w:szCs w:val="21"/>
                <w:lang w:eastAsia="zh-CN"/>
              </w:rPr>
              <w:t>，</w:t>
            </w:r>
            <w:r>
              <w:rPr>
                <w:rFonts w:hint="eastAsia" w:ascii="宋体" w:hAnsi="宋体"/>
                <w:sz w:val="21"/>
                <w:szCs w:val="21"/>
              </w:rPr>
              <w:t>其他不得分，</w:t>
            </w:r>
            <w:r>
              <w:rPr>
                <w:rFonts w:hint="eastAsia" w:ascii="宋体" w:hAnsi="宋体"/>
                <w:sz w:val="21"/>
                <w:szCs w:val="24"/>
              </w:rPr>
              <w:t>本小项最高得3分。（提供证书复印件）</w:t>
            </w:r>
          </w:p>
          <w:p w14:paraId="49CE9DB3">
            <w:pPr>
              <w:widowControl/>
              <w:adjustRightInd w:val="0"/>
              <w:snapToGrid w:val="0"/>
              <w:spacing w:beforeLines="0" w:afterLines="0" w:line="360" w:lineRule="auto"/>
              <w:rPr>
                <w:rFonts w:hint="eastAsia" w:ascii="宋体" w:hAnsi="宋体"/>
                <w:sz w:val="21"/>
                <w:szCs w:val="21"/>
              </w:rPr>
            </w:pPr>
            <w:r>
              <w:rPr>
                <w:rFonts w:hint="eastAsia" w:ascii="宋体" w:hAnsi="宋体"/>
                <w:sz w:val="21"/>
                <w:szCs w:val="21"/>
              </w:rPr>
              <w:t>2）</w:t>
            </w:r>
            <w:r>
              <w:rPr>
                <w:rFonts w:hint="eastAsia"/>
                <w:sz w:val="21"/>
                <w:szCs w:val="24"/>
              </w:rPr>
              <w:t>技术负责人：</w:t>
            </w:r>
            <w:r>
              <w:rPr>
                <w:rFonts w:hint="eastAsia" w:ascii="宋体" w:hAnsi="宋体"/>
                <w:sz w:val="21"/>
                <w:szCs w:val="21"/>
              </w:rPr>
              <w:t>具有机电相关专业中级技术职称得</w:t>
            </w:r>
            <w:r>
              <w:rPr>
                <w:rFonts w:hint="eastAsia" w:ascii="宋体" w:hAnsi="宋体"/>
                <w:sz w:val="21"/>
                <w:szCs w:val="21"/>
                <w:lang w:val="en-US" w:eastAsia="zh-CN"/>
              </w:rPr>
              <w:t>3</w:t>
            </w:r>
            <w:r>
              <w:rPr>
                <w:rFonts w:hint="eastAsia" w:ascii="宋体" w:hAnsi="宋体"/>
                <w:sz w:val="21"/>
                <w:szCs w:val="21"/>
              </w:rPr>
              <w:t>分；具有机电相关专业职称得</w:t>
            </w:r>
            <w:r>
              <w:rPr>
                <w:rFonts w:hint="eastAsia" w:ascii="宋体" w:hAnsi="宋体"/>
                <w:sz w:val="21"/>
                <w:szCs w:val="21"/>
                <w:lang w:val="en-US" w:eastAsia="zh-CN"/>
              </w:rPr>
              <w:t>1</w:t>
            </w:r>
            <w:r>
              <w:rPr>
                <w:rFonts w:hint="eastAsia" w:ascii="宋体" w:hAnsi="宋体"/>
                <w:sz w:val="21"/>
                <w:szCs w:val="21"/>
              </w:rPr>
              <w:t>分</w:t>
            </w:r>
            <w:r>
              <w:rPr>
                <w:rFonts w:hint="eastAsia" w:ascii="宋体" w:hAnsi="宋体"/>
                <w:sz w:val="21"/>
                <w:szCs w:val="21"/>
                <w:lang w:eastAsia="zh-CN"/>
              </w:rPr>
              <w:t>，</w:t>
            </w:r>
            <w:r>
              <w:rPr>
                <w:rFonts w:hint="eastAsia" w:ascii="宋体" w:hAnsi="宋体"/>
                <w:sz w:val="21"/>
                <w:szCs w:val="21"/>
              </w:rPr>
              <w:t>其他不得分，</w:t>
            </w:r>
            <w:r>
              <w:rPr>
                <w:rFonts w:hint="eastAsia" w:ascii="宋体" w:hAnsi="宋体"/>
                <w:sz w:val="21"/>
                <w:szCs w:val="24"/>
              </w:rPr>
              <w:t>本小项最高得3分。（提供证书复印件）</w:t>
            </w:r>
          </w:p>
          <w:p w14:paraId="43FF0ED4">
            <w:pPr>
              <w:adjustRightInd w:val="0"/>
              <w:snapToGrid w:val="0"/>
              <w:spacing w:beforeLines="0" w:afterLines="0" w:line="360" w:lineRule="auto"/>
              <w:rPr>
                <w:rFonts w:hint="eastAsia" w:ascii="宋体" w:hAnsi="宋体" w:eastAsia="宋体"/>
                <w:sz w:val="21"/>
                <w:szCs w:val="21"/>
              </w:rPr>
            </w:pPr>
            <w:r>
              <w:rPr>
                <w:rFonts w:hint="eastAsia" w:ascii="宋体" w:hAnsi="宋体"/>
                <w:sz w:val="21"/>
                <w:szCs w:val="21"/>
              </w:rPr>
              <w:t>注：如为电子证书可提供官网截图及链接，以上人员须同时提供供应商为其购买至投标截止之日（含当月）半年内任意1个月的社会保险证明</w:t>
            </w:r>
            <w:r>
              <w:rPr>
                <w:rFonts w:hint="eastAsia" w:ascii="宋体" w:hAnsi="宋体"/>
                <w:sz w:val="21"/>
                <w:szCs w:val="24"/>
              </w:rPr>
              <w:t>，不提供不得分</w:t>
            </w:r>
            <w:r>
              <w:rPr>
                <w:rFonts w:hint="eastAsia" w:ascii="宋体" w:hAnsi="宋体"/>
                <w:sz w:val="21"/>
                <w:szCs w:val="21"/>
              </w:rPr>
              <w:t>。</w:t>
            </w:r>
          </w:p>
        </w:tc>
        <w:tc>
          <w:tcPr>
            <w:tcW w:w="848" w:type="dxa"/>
            <w:tcBorders>
              <w:top w:val="single" w:color="auto" w:sz="6" w:space="0"/>
              <w:left w:val="single" w:color="auto" w:sz="6" w:space="0"/>
              <w:bottom w:val="single" w:color="auto" w:sz="4" w:space="0"/>
              <w:right w:val="single" w:color="auto" w:sz="6" w:space="0"/>
              <w:tl2br w:val="nil"/>
              <w:tr2bl w:val="nil"/>
            </w:tcBorders>
            <w:noWrap w:val="0"/>
            <w:vAlign w:val="center"/>
          </w:tcPr>
          <w:p w14:paraId="756867CC">
            <w:pPr>
              <w:adjustRightInd w:val="0"/>
              <w:snapToGrid w:val="0"/>
              <w:spacing w:beforeLines="0" w:afterLines="0" w:line="360" w:lineRule="auto"/>
              <w:jc w:val="center"/>
              <w:rPr>
                <w:rFonts w:hint="eastAsia" w:ascii="宋体" w:hAnsi="宋体" w:eastAsia="宋体"/>
                <w:sz w:val="21"/>
                <w:szCs w:val="21"/>
                <w:lang w:eastAsia="zh-CN"/>
              </w:rPr>
            </w:pPr>
            <w:r>
              <w:rPr>
                <w:rFonts w:hint="eastAsia" w:ascii="宋体" w:hAnsi="宋体" w:eastAsia="宋体"/>
                <w:sz w:val="21"/>
                <w:szCs w:val="21"/>
                <w:lang w:val="en-US" w:eastAsia="zh-CN"/>
              </w:rPr>
              <w:t>6</w:t>
            </w:r>
          </w:p>
        </w:tc>
        <w:tc>
          <w:tcPr>
            <w:tcW w:w="848" w:type="dxa"/>
            <w:tcBorders>
              <w:top w:val="single" w:color="auto" w:sz="6" w:space="0"/>
              <w:left w:val="single" w:color="auto" w:sz="6" w:space="0"/>
              <w:bottom w:val="single" w:color="auto" w:sz="4" w:space="0"/>
              <w:right w:val="single" w:color="auto" w:sz="12" w:space="0"/>
              <w:tl2br w:val="nil"/>
              <w:tr2bl w:val="nil"/>
            </w:tcBorders>
            <w:noWrap w:val="0"/>
            <w:vAlign w:val="center"/>
          </w:tcPr>
          <w:p w14:paraId="16E91154">
            <w:pPr>
              <w:snapToGrid w:val="0"/>
              <w:spacing w:beforeLines="0" w:afterLines="0" w:line="280" w:lineRule="exact"/>
              <w:ind w:left="210" w:leftChars="100"/>
              <w:jc w:val="center"/>
              <w:rPr>
                <w:rFonts w:hint="eastAsia" w:ascii="宋体" w:eastAsia="宋体"/>
                <w:kern w:val="0"/>
                <w:sz w:val="21"/>
                <w:szCs w:val="24"/>
              </w:rPr>
            </w:pPr>
          </w:p>
        </w:tc>
      </w:tr>
      <w:tr w14:paraId="3FF1F6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333" w:hRule="atLeast"/>
        </w:trPr>
        <w:tc>
          <w:tcPr>
            <w:tcW w:w="138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92492DA">
            <w:pPr>
              <w:spacing w:beforeLines="0" w:afterLines="0"/>
              <w:jc w:val="center"/>
              <w:rPr>
                <w:rFonts w:hint="default" w:ascii="宋体" w:hAnsi="宋体" w:eastAsia="宋体" w:cs="宋体"/>
                <w:sz w:val="21"/>
                <w:szCs w:val="21"/>
                <w:highlight w:val="none"/>
                <w:lang w:val="en-US" w:eastAsia="zh-CN"/>
              </w:rPr>
            </w:pPr>
            <w:r>
              <w:rPr>
                <w:rFonts w:hint="eastAsia" w:ascii="宋体" w:hAnsi="宋体" w:cs="宋体"/>
                <w:sz w:val="21"/>
                <w:szCs w:val="24"/>
                <w:highlight w:val="none"/>
                <w:lang w:val="en-US" w:eastAsia="zh-CN"/>
              </w:rPr>
              <w:t>管理认证体系</w:t>
            </w:r>
          </w:p>
        </w:tc>
        <w:tc>
          <w:tcPr>
            <w:tcW w:w="5435" w:type="dxa"/>
            <w:tcBorders>
              <w:top w:val="single" w:color="auto" w:sz="6" w:space="0"/>
              <w:left w:val="single" w:color="auto" w:sz="6" w:space="0"/>
              <w:bottom w:val="single" w:color="auto" w:sz="4" w:space="0"/>
              <w:right w:val="single" w:color="auto" w:sz="6" w:space="0"/>
              <w:tl2br w:val="nil"/>
              <w:tr2bl w:val="nil"/>
            </w:tcBorders>
            <w:noWrap w:val="0"/>
            <w:vAlign w:val="center"/>
          </w:tcPr>
          <w:p w14:paraId="180B7D46">
            <w:pPr>
              <w:spacing w:beforeLines="0" w:afterLines="0" w:line="360" w:lineRule="auto"/>
              <w:jc w:val="left"/>
              <w:rPr>
                <w:rFonts w:hint="eastAsia" w:ascii="宋体" w:hAnsi="宋体"/>
                <w:sz w:val="21"/>
                <w:szCs w:val="24"/>
                <w:highlight w:val="none"/>
              </w:rPr>
            </w:pPr>
            <w:r>
              <w:rPr>
                <w:rFonts w:hint="eastAsia" w:ascii="宋体" w:hAnsi="宋体"/>
                <w:sz w:val="21"/>
                <w:szCs w:val="24"/>
                <w:highlight w:val="none"/>
              </w:rPr>
              <w:t>供应商具有有效期限内的质量管理体系认证、环境管理体系认证、职业健康安全管理体系认证,每个得2分，没有的不得分。本项最高得6分。</w:t>
            </w:r>
          </w:p>
          <w:p w14:paraId="12F62CB5">
            <w:pPr>
              <w:spacing w:beforeLines="0" w:afterLines="0" w:line="360" w:lineRule="auto"/>
              <w:jc w:val="left"/>
              <w:rPr>
                <w:rFonts w:hint="eastAsia" w:ascii="宋体" w:hAnsi="宋体"/>
                <w:sz w:val="21"/>
                <w:szCs w:val="24"/>
                <w:highlight w:val="none"/>
              </w:rPr>
            </w:pPr>
            <w:r>
              <w:rPr>
                <w:rFonts w:hint="eastAsia" w:ascii="宋体" w:hAnsi="宋体"/>
                <w:sz w:val="21"/>
                <w:szCs w:val="24"/>
                <w:highlight w:val="none"/>
              </w:rPr>
              <w:t>【注：须同时提供有效的证书复印件及在在全国认证认可信息公共服务平台（http://cx.cnca.cn）对体系证书的信息查询截图作为评审依据，已失效或撤销的不得分。</w:t>
            </w:r>
            <w:r>
              <w:rPr>
                <w:rFonts w:hint="eastAsia" w:ascii="宋体" w:hAnsi="宋体" w:cs="宋体"/>
                <w:sz w:val="21"/>
                <w:szCs w:val="21"/>
                <w:highlight w:val="none"/>
                <w:shd w:val="clear" w:color="auto" w:fill="FFFFFF"/>
              </w:rPr>
              <w:t>新成立企业如因成立时间不足三个月而未能获取上述证书的，且</w:t>
            </w:r>
            <w:r>
              <w:rPr>
                <w:rFonts w:hint="eastAsia" w:ascii="宋体" w:hAnsi="宋体" w:cs="宋体"/>
                <w:color w:val="000000"/>
                <w:sz w:val="21"/>
                <w:szCs w:val="21"/>
                <w:highlight w:val="none"/>
                <w:shd w:val="clear" w:color="auto" w:fill="FFFFFF"/>
              </w:rPr>
              <w:t>供应商</w:t>
            </w:r>
            <w:r>
              <w:rPr>
                <w:rFonts w:hint="eastAsia" w:ascii="宋体" w:hAnsi="宋体" w:cs="宋体"/>
                <w:sz w:val="21"/>
                <w:szCs w:val="21"/>
                <w:highlight w:val="none"/>
                <w:shd w:val="clear" w:color="auto" w:fill="FFFFFF"/>
              </w:rPr>
              <w:t>能提供书面说明的，可对应得分。</w:t>
            </w:r>
            <w:r>
              <w:rPr>
                <w:rFonts w:hint="eastAsia" w:ascii="宋体" w:hAnsi="宋体"/>
                <w:sz w:val="21"/>
                <w:szCs w:val="24"/>
                <w:highlight w:val="none"/>
              </w:rPr>
              <w:t>】</w:t>
            </w:r>
          </w:p>
        </w:tc>
        <w:tc>
          <w:tcPr>
            <w:tcW w:w="848" w:type="dxa"/>
            <w:tcBorders>
              <w:top w:val="single" w:color="auto" w:sz="6" w:space="0"/>
              <w:left w:val="single" w:color="auto" w:sz="6" w:space="0"/>
              <w:bottom w:val="single" w:color="auto" w:sz="4" w:space="0"/>
              <w:right w:val="single" w:color="auto" w:sz="6" w:space="0"/>
              <w:tl2br w:val="nil"/>
              <w:tr2bl w:val="nil"/>
            </w:tcBorders>
            <w:noWrap w:val="0"/>
            <w:vAlign w:val="center"/>
          </w:tcPr>
          <w:p w14:paraId="3A0C1ADB">
            <w:pPr>
              <w:snapToGrid w:val="0"/>
              <w:spacing w:before="50" w:beforeLines="0" w:afterLines="0" w:line="360" w:lineRule="auto"/>
              <w:jc w:val="center"/>
              <w:rPr>
                <w:rFonts w:hint="eastAsia" w:ascii="宋体" w:hAnsi="宋体" w:cs="宋体"/>
                <w:sz w:val="21"/>
                <w:szCs w:val="21"/>
                <w:highlight w:val="none"/>
              </w:rPr>
            </w:pPr>
            <w:r>
              <w:rPr>
                <w:rFonts w:hint="eastAsia" w:ascii="宋体" w:hAnsi="宋体" w:cs="宋体"/>
                <w:sz w:val="21"/>
                <w:szCs w:val="21"/>
                <w:highlight w:val="none"/>
              </w:rPr>
              <w:t>6</w:t>
            </w:r>
          </w:p>
        </w:tc>
        <w:tc>
          <w:tcPr>
            <w:tcW w:w="848" w:type="dxa"/>
            <w:tcBorders>
              <w:top w:val="single" w:color="auto" w:sz="6" w:space="0"/>
              <w:left w:val="single" w:color="auto" w:sz="6" w:space="0"/>
              <w:bottom w:val="single" w:color="auto" w:sz="4" w:space="0"/>
              <w:right w:val="single" w:color="auto" w:sz="12" w:space="0"/>
              <w:tl2br w:val="nil"/>
              <w:tr2bl w:val="nil"/>
            </w:tcBorders>
            <w:noWrap w:val="0"/>
            <w:vAlign w:val="center"/>
          </w:tcPr>
          <w:p w14:paraId="076AEE2A">
            <w:pPr>
              <w:snapToGrid w:val="0"/>
              <w:spacing w:beforeLines="0" w:afterLines="0" w:line="280" w:lineRule="exact"/>
              <w:ind w:left="210" w:leftChars="100"/>
              <w:jc w:val="center"/>
              <w:rPr>
                <w:rFonts w:hint="eastAsia" w:ascii="宋体" w:eastAsia="宋体"/>
                <w:kern w:val="0"/>
                <w:sz w:val="21"/>
                <w:szCs w:val="24"/>
              </w:rPr>
            </w:pPr>
          </w:p>
        </w:tc>
      </w:tr>
      <w:tr w14:paraId="46DD53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567" w:hRule="atLeast"/>
        </w:trPr>
        <w:tc>
          <w:tcPr>
            <w:tcW w:w="1383" w:type="dxa"/>
            <w:tcBorders>
              <w:top w:val="single" w:color="auto" w:sz="6" w:space="0"/>
              <w:left w:val="single" w:color="auto" w:sz="12" w:space="0"/>
              <w:bottom w:val="single" w:color="auto" w:sz="12" w:space="0"/>
              <w:right w:val="single" w:color="auto" w:sz="6" w:space="0"/>
              <w:tl2br w:val="nil"/>
              <w:tr2bl w:val="nil"/>
            </w:tcBorders>
            <w:noWrap w:val="0"/>
            <w:vAlign w:val="center"/>
          </w:tcPr>
          <w:p w14:paraId="7A46E8EF">
            <w:pPr>
              <w:snapToGrid w:val="0"/>
              <w:spacing w:beforeLines="0" w:afterLines="0" w:line="280" w:lineRule="exact"/>
              <w:jc w:val="center"/>
              <w:rPr>
                <w:rFonts w:hint="eastAsia" w:ascii="宋体" w:eastAsia="宋体"/>
                <w:sz w:val="21"/>
                <w:szCs w:val="24"/>
              </w:rPr>
            </w:pPr>
            <w:r>
              <w:rPr>
                <w:rFonts w:hint="eastAsia" w:ascii="宋体" w:hAnsi="宋体" w:cs="宋体"/>
                <w:sz w:val="21"/>
                <w:szCs w:val="24"/>
              </w:rPr>
              <w:t>合</w:t>
            </w:r>
            <w:r>
              <w:rPr>
                <w:rFonts w:hint="eastAsia" w:ascii="宋体" w:hAnsi="宋体" w:eastAsia="宋体" w:cs="宋体"/>
                <w:sz w:val="21"/>
                <w:szCs w:val="24"/>
              </w:rPr>
              <w:t xml:space="preserve">    </w:t>
            </w:r>
            <w:r>
              <w:rPr>
                <w:rFonts w:hint="eastAsia" w:ascii="宋体" w:hAnsi="宋体" w:cs="宋体"/>
                <w:sz w:val="21"/>
                <w:szCs w:val="24"/>
              </w:rPr>
              <w:t>计</w:t>
            </w:r>
          </w:p>
        </w:tc>
        <w:tc>
          <w:tcPr>
            <w:tcW w:w="7131" w:type="dxa"/>
            <w:gridSpan w:val="3"/>
            <w:tcBorders>
              <w:top w:val="single" w:color="auto" w:sz="6" w:space="0"/>
              <w:left w:val="single" w:color="auto" w:sz="6" w:space="0"/>
              <w:bottom w:val="single" w:color="auto" w:sz="12" w:space="0"/>
              <w:right w:val="single" w:color="auto" w:sz="12" w:space="0"/>
              <w:tl2br w:val="nil"/>
              <w:tr2bl w:val="nil"/>
            </w:tcBorders>
            <w:noWrap w:val="0"/>
            <w:vAlign w:val="center"/>
          </w:tcPr>
          <w:p w14:paraId="642939FC">
            <w:pPr>
              <w:snapToGrid w:val="0"/>
              <w:spacing w:beforeLines="0" w:afterLines="0" w:line="280" w:lineRule="exact"/>
              <w:ind w:left="210" w:leftChars="100"/>
              <w:jc w:val="center"/>
              <w:rPr>
                <w:rFonts w:hint="eastAsia" w:ascii="宋体" w:eastAsia="宋体"/>
                <w:kern w:val="0"/>
                <w:sz w:val="21"/>
                <w:szCs w:val="24"/>
              </w:rPr>
            </w:pPr>
            <w:r>
              <w:rPr>
                <w:rFonts w:hint="eastAsia" w:ascii="宋体" w:hAnsi="宋体" w:cs="宋体"/>
                <w:kern w:val="0"/>
                <w:sz w:val="21"/>
                <w:szCs w:val="24"/>
              </w:rPr>
              <w:t>20分</w:t>
            </w:r>
          </w:p>
        </w:tc>
      </w:tr>
    </w:tbl>
    <w:p w14:paraId="193587F0">
      <w:pPr>
        <w:spacing w:beforeLines="0" w:afterLines="0"/>
        <w:rPr>
          <w:rFonts w:hint="eastAsia" w:ascii="宋体" w:hAnsi="宋体"/>
          <w:b/>
          <w:sz w:val="21"/>
          <w:szCs w:val="21"/>
        </w:rPr>
      </w:pPr>
    </w:p>
    <w:p w14:paraId="08AEE2F1">
      <w:pPr>
        <w:spacing w:beforeLines="0" w:after="120" w:afterLines="50"/>
        <w:jc w:val="center"/>
        <w:rPr>
          <w:rFonts w:hint="eastAsia" w:ascii="宋体" w:hAnsi="宋体"/>
          <w:b/>
          <w:sz w:val="21"/>
          <w:szCs w:val="21"/>
          <w:highlight w:val="yellow"/>
        </w:rPr>
      </w:pPr>
    </w:p>
    <w:p w14:paraId="3410E989">
      <w:pPr>
        <w:spacing w:beforeLines="0" w:after="120" w:afterLines="50"/>
        <w:jc w:val="center"/>
        <w:rPr>
          <w:rFonts w:hint="eastAsia" w:ascii="宋体" w:hAnsi="宋体"/>
          <w:b/>
          <w:sz w:val="21"/>
          <w:szCs w:val="21"/>
          <w:highlight w:val="yellow"/>
        </w:rPr>
      </w:pPr>
    </w:p>
    <w:p w14:paraId="71073D49">
      <w:pPr>
        <w:spacing w:beforeLines="0" w:after="120" w:afterLines="50"/>
        <w:jc w:val="center"/>
        <w:rPr>
          <w:rFonts w:hint="eastAsia" w:ascii="宋体" w:hAnsi="宋体"/>
          <w:b/>
          <w:sz w:val="21"/>
          <w:szCs w:val="21"/>
          <w:highlight w:val="none"/>
        </w:rPr>
      </w:pPr>
      <w:r>
        <w:rPr>
          <w:rFonts w:hint="eastAsia" w:ascii="宋体" w:hAnsi="宋体"/>
          <w:b/>
          <w:sz w:val="21"/>
          <w:szCs w:val="21"/>
          <w:highlight w:val="none"/>
        </w:rPr>
        <w:t>技术评分表（50分）</w:t>
      </w:r>
    </w:p>
    <w:tbl>
      <w:tblPr>
        <w:tblStyle w:val="4"/>
        <w:tblW w:w="0" w:type="auto"/>
        <w:tblInd w:w="-11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108" w:type="dxa"/>
          <w:bottom w:w="28" w:type="dxa"/>
          <w:right w:w="108" w:type="dxa"/>
        </w:tblCellMar>
      </w:tblPr>
      <w:tblGrid>
        <w:gridCol w:w="1987"/>
        <w:gridCol w:w="3988"/>
        <w:gridCol w:w="1330"/>
        <w:gridCol w:w="1208"/>
      </w:tblGrid>
      <w:tr w14:paraId="78D936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680" w:hRule="exact"/>
          <w:tblHeader/>
        </w:trPr>
        <w:tc>
          <w:tcPr>
            <w:tcW w:w="1987"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6AE04980">
            <w:pPr>
              <w:snapToGrid w:val="0"/>
              <w:spacing w:before="120" w:beforeLines="50" w:afterLines="0" w:line="360" w:lineRule="auto"/>
              <w:jc w:val="center"/>
              <w:rPr>
                <w:rFonts w:hint="eastAsia" w:ascii="宋体" w:hAnsi="宋体"/>
                <w:b/>
                <w:sz w:val="21"/>
                <w:szCs w:val="21"/>
              </w:rPr>
            </w:pPr>
            <w:r>
              <w:rPr>
                <w:rFonts w:hint="eastAsia" w:ascii="宋体" w:hAnsi="宋体"/>
                <w:b/>
                <w:sz w:val="21"/>
                <w:szCs w:val="21"/>
              </w:rPr>
              <w:t>评审项目</w:t>
            </w:r>
          </w:p>
        </w:tc>
        <w:tc>
          <w:tcPr>
            <w:tcW w:w="3988"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5FB9B84B">
            <w:pPr>
              <w:snapToGrid w:val="0"/>
              <w:spacing w:before="120" w:beforeLines="50" w:afterLines="0" w:line="360" w:lineRule="auto"/>
              <w:jc w:val="center"/>
              <w:rPr>
                <w:rFonts w:hint="eastAsia" w:ascii="宋体" w:hAnsi="宋体" w:cs="宋体"/>
                <w:b/>
                <w:sz w:val="21"/>
                <w:szCs w:val="21"/>
              </w:rPr>
            </w:pPr>
            <w:r>
              <w:rPr>
                <w:rFonts w:hint="eastAsia" w:ascii="宋体" w:hAnsi="宋体" w:cs="宋体"/>
                <w:b/>
                <w:sz w:val="21"/>
                <w:szCs w:val="21"/>
              </w:rPr>
              <w:t>评分标准</w:t>
            </w:r>
          </w:p>
        </w:tc>
        <w:tc>
          <w:tcPr>
            <w:tcW w:w="1330"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4BCDB06D">
            <w:pPr>
              <w:snapToGrid w:val="0"/>
              <w:spacing w:before="120" w:beforeLines="50" w:afterLines="0" w:line="360" w:lineRule="auto"/>
              <w:jc w:val="center"/>
              <w:rPr>
                <w:rFonts w:hint="eastAsia" w:ascii="宋体" w:hAnsi="宋体"/>
                <w:b/>
                <w:sz w:val="21"/>
                <w:szCs w:val="21"/>
              </w:rPr>
            </w:pPr>
            <w:r>
              <w:rPr>
                <w:rFonts w:hint="eastAsia" w:ascii="宋体" w:hAnsi="宋体"/>
                <w:b/>
                <w:sz w:val="21"/>
                <w:szCs w:val="21"/>
              </w:rPr>
              <w:t>分值</w:t>
            </w:r>
          </w:p>
        </w:tc>
        <w:tc>
          <w:tcPr>
            <w:tcW w:w="1208" w:type="dxa"/>
            <w:tcBorders>
              <w:top w:val="single" w:color="auto" w:sz="12" w:space="0"/>
              <w:left w:val="single" w:color="auto" w:sz="6" w:space="0"/>
              <w:bottom w:val="single" w:color="auto" w:sz="6" w:space="0"/>
              <w:right w:val="single" w:color="auto" w:sz="12" w:space="0"/>
              <w:tl2br w:val="nil"/>
              <w:tr2bl w:val="nil"/>
            </w:tcBorders>
            <w:noWrap w:val="0"/>
            <w:vAlign w:val="center"/>
          </w:tcPr>
          <w:p w14:paraId="64FA1D4A">
            <w:pPr>
              <w:snapToGrid w:val="0"/>
              <w:spacing w:before="120" w:beforeLines="50" w:afterLines="0" w:line="360" w:lineRule="auto"/>
              <w:jc w:val="center"/>
              <w:rPr>
                <w:rFonts w:hint="eastAsia" w:ascii="宋体" w:hAnsi="宋体"/>
                <w:b/>
                <w:sz w:val="21"/>
                <w:szCs w:val="21"/>
              </w:rPr>
            </w:pPr>
            <w:r>
              <w:rPr>
                <w:rFonts w:hint="eastAsia" w:ascii="宋体" w:hAnsi="宋体"/>
                <w:b/>
                <w:sz w:val="21"/>
                <w:szCs w:val="21"/>
              </w:rPr>
              <w:t>评分</w:t>
            </w:r>
          </w:p>
        </w:tc>
      </w:tr>
      <w:tr w14:paraId="7CBA45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1134" w:hRule="atLeast"/>
        </w:trPr>
        <w:tc>
          <w:tcPr>
            <w:tcW w:w="1987"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1ABE168">
            <w:pPr>
              <w:snapToGrid w:val="0"/>
              <w:spacing w:beforeLines="0" w:afterLines="0" w:line="360" w:lineRule="auto"/>
              <w:jc w:val="center"/>
              <w:rPr>
                <w:rFonts w:hint="eastAsia" w:ascii="宋体" w:hAnsi="宋体"/>
                <w:sz w:val="21"/>
                <w:szCs w:val="21"/>
              </w:rPr>
            </w:pPr>
            <w:r>
              <w:rPr>
                <w:rFonts w:hint="eastAsia" w:cs="宋体"/>
                <w:sz w:val="21"/>
                <w:szCs w:val="21"/>
              </w:rPr>
              <w:t>技术参数响应情况</w:t>
            </w:r>
          </w:p>
        </w:tc>
        <w:tc>
          <w:tcPr>
            <w:tcW w:w="398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EF7526">
            <w:pPr>
              <w:spacing w:beforeLines="0" w:afterLines="0" w:line="360" w:lineRule="auto"/>
              <w:rPr>
                <w:rFonts w:hint="eastAsia" w:ascii="宋体" w:hAnsi="宋体" w:cs="宋体"/>
                <w:sz w:val="21"/>
                <w:szCs w:val="21"/>
              </w:rPr>
            </w:pPr>
            <w:r>
              <w:rPr>
                <w:rFonts w:hint="eastAsia" w:ascii="宋体" w:hAnsi="宋体" w:cs="宋体"/>
                <w:sz w:val="21"/>
                <w:szCs w:val="21"/>
              </w:rPr>
              <w:t>根据供应商对采购文件“技术要求”中参数的响应进行评审：完全满足得</w:t>
            </w:r>
            <w:r>
              <w:rPr>
                <w:rFonts w:hint="eastAsia" w:ascii="宋体" w:hAnsi="宋体" w:cs="宋体"/>
                <w:sz w:val="21"/>
                <w:szCs w:val="21"/>
                <w:lang w:val="en-US" w:eastAsia="zh-CN"/>
              </w:rPr>
              <w:t>2</w:t>
            </w:r>
            <w:r>
              <w:rPr>
                <w:rFonts w:hint="eastAsia" w:ascii="宋体" w:hAnsi="宋体" w:cs="宋体"/>
                <w:sz w:val="21"/>
                <w:szCs w:val="21"/>
              </w:rPr>
              <w:t>0分；负偏离总数＜20项的，每出现一项负偏离，扣1分；负偏离总数≥20项的，得0分。</w:t>
            </w:r>
          </w:p>
          <w:p w14:paraId="767F43E8">
            <w:pPr>
              <w:spacing w:beforeLines="0" w:afterLines="0" w:line="360" w:lineRule="auto"/>
              <w:rPr>
                <w:rFonts w:hint="eastAsia" w:ascii="宋体" w:hAnsi="宋体" w:cs="宋体"/>
                <w:sz w:val="21"/>
                <w:szCs w:val="21"/>
              </w:rPr>
            </w:pPr>
            <w:r>
              <w:rPr>
                <w:rFonts w:hint="eastAsia" w:ascii="宋体" w:hAnsi="宋体" w:cs="宋体"/>
                <w:sz w:val="21"/>
                <w:szCs w:val="21"/>
              </w:rPr>
              <w:t>【备注：如采购需求中有明确提供的证明资料，则以采购需求中要求的为准，无或未按要求提供证明材料的不得分；如采购需求中无明确证明材料的，</w:t>
            </w:r>
            <w:r>
              <w:rPr>
                <w:rFonts w:hint="eastAsia" w:ascii="宋体" w:hAnsi="宋体" w:cs="宋体"/>
                <w:sz w:val="21"/>
                <w:szCs w:val="21"/>
              </w:rPr>
              <w:t>以供应商</w:t>
            </w:r>
            <w:r>
              <w:rPr>
                <w:rFonts w:hint="eastAsia" w:ascii="宋体" w:hAnsi="宋体" w:cs="宋体"/>
                <w:sz w:val="21"/>
                <w:szCs w:val="21"/>
                <w:lang w:val="en-US" w:eastAsia="zh-CN"/>
              </w:rPr>
              <w:t>参选</w:t>
            </w:r>
            <w:r>
              <w:rPr>
                <w:rFonts w:hint="eastAsia" w:ascii="宋体" w:hAnsi="宋体" w:cs="宋体"/>
                <w:sz w:val="21"/>
                <w:szCs w:val="21"/>
              </w:rPr>
              <w:t>文件中《采购项目内容响应表》的响应情况填写内容为准，未填写的或不响应的视为负偏离</w:t>
            </w:r>
            <w:r>
              <w:rPr>
                <w:rFonts w:hint="eastAsia" w:ascii="宋体" w:hAnsi="宋体" w:cs="宋体"/>
                <w:sz w:val="21"/>
                <w:szCs w:val="21"/>
              </w:rPr>
              <w:t>】</w:t>
            </w:r>
          </w:p>
        </w:tc>
        <w:tc>
          <w:tcPr>
            <w:tcW w:w="13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A45EB8">
            <w:pPr>
              <w:tabs>
                <w:tab w:val="left" w:pos="840"/>
              </w:tabs>
              <w:spacing w:beforeLines="0" w:afterLines="0" w:line="360" w:lineRule="auto"/>
              <w:jc w:val="center"/>
              <w:rPr>
                <w:rFonts w:hint="eastAsia" w:ascii="宋体" w:hAnsi="宋体" w:eastAsia="宋体"/>
                <w:kern w:val="0"/>
                <w:sz w:val="21"/>
                <w:szCs w:val="21"/>
              </w:rPr>
            </w:pPr>
            <w:r>
              <w:rPr>
                <w:rFonts w:hint="eastAsia" w:ascii="宋体" w:hAnsi="宋体"/>
                <w:kern w:val="0"/>
                <w:sz w:val="21"/>
                <w:szCs w:val="21"/>
              </w:rPr>
              <w:t>20</w:t>
            </w:r>
          </w:p>
        </w:tc>
        <w:tc>
          <w:tcPr>
            <w:tcW w:w="1208"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3935430">
            <w:pPr>
              <w:snapToGrid w:val="0"/>
              <w:spacing w:beforeLines="0" w:afterLines="0" w:line="360" w:lineRule="auto"/>
              <w:ind w:left="210" w:leftChars="100"/>
              <w:jc w:val="center"/>
              <w:rPr>
                <w:rFonts w:hint="eastAsia" w:ascii="宋体" w:hAnsi="宋体"/>
                <w:kern w:val="0"/>
                <w:sz w:val="21"/>
                <w:szCs w:val="21"/>
              </w:rPr>
            </w:pPr>
          </w:p>
        </w:tc>
      </w:tr>
      <w:tr w14:paraId="6F9020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1134" w:hRule="atLeast"/>
        </w:trPr>
        <w:tc>
          <w:tcPr>
            <w:tcW w:w="1987"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8D14A0F">
            <w:pPr>
              <w:spacing w:beforeLines="0" w:afterLines="0" w:line="360" w:lineRule="auto"/>
              <w:jc w:val="center"/>
              <w:rPr>
                <w:rFonts w:hint="eastAsia" w:ascii="宋体" w:hAnsi="宋体"/>
                <w:kern w:val="0"/>
                <w:sz w:val="21"/>
                <w:szCs w:val="21"/>
              </w:rPr>
            </w:pPr>
            <w:r>
              <w:rPr>
                <w:rFonts w:hint="eastAsia" w:cs="宋体"/>
                <w:kern w:val="0"/>
                <w:sz w:val="21"/>
                <w:szCs w:val="21"/>
              </w:rPr>
              <w:t>培训及技术支持方案</w:t>
            </w:r>
          </w:p>
        </w:tc>
        <w:tc>
          <w:tcPr>
            <w:tcW w:w="398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C27661">
            <w:pPr>
              <w:spacing w:beforeLines="0" w:afterLines="0" w:line="360" w:lineRule="auto"/>
              <w:rPr>
                <w:rFonts w:hint="eastAsia" w:ascii="宋体" w:hAnsi="宋体" w:cs="宋体"/>
                <w:sz w:val="21"/>
                <w:szCs w:val="21"/>
              </w:rPr>
            </w:pPr>
            <w:r>
              <w:rPr>
                <w:rFonts w:hint="eastAsia" w:ascii="宋体" w:hAnsi="宋体" w:cs="宋体"/>
                <w:kern w:val="0"/>
                <w:sz w:val="21"/>
                <w:szCs w:val="21"/>
              </w:rPr>
              <w:t>根据供应商对</w:t>
            </w:r>
            <w:r>
              <w:rPr>
                <w:rFonts w:hint="eastAsia" w:ascii="宋体" w:hAnsi="宋体" w:cs="宋体"/>
                <w:sz w:val="21"/>
                <w:szCs w:val="21"/>
              </w:rPr>
              <w:t>本项目制定的</w:t>
            </w:r>
            <w:r>
              <w:rPr>
                <w:rFonts w:hint="eastAsia" w:ascii="宋体" w:hAnsi="宋体" w:cs="宋体"/>
                <w:kern w:val="0"/>
                <w:sz w:val="21"/>
                <w:szCs w:val="21"/>
              </w:rPr>
              <w:t>培训及技术支持方案等进行评审：</w:t>
            </w:r>
            <w:r>
              <w:rPr>
                <w:rFonts w:hint="eastAsia" w:ascii="宋体" w:hAnsi="宋体" w:cs="宋体"/>
                <w:kern w:val="0"/>
                <w:sz w:val="21"/>
                <w:szCs w:val="21"/>
              </w:rPr>
              <w:br w:type="textWrapping"/>
            </w:r>
            <w:r>
              <w:rPr>
                <w:rFonts w:hint="eastAsia" w:ascii="宋体" w:hAnsi="宋体" w:cs="宋体"/>
                <w:kern w:val="0"/>
                <w:sz w:val="21"/>
                <w:szCs w:val="21"/>
              </w:rPr>
              <w:t>1.培训及技术支持方案完全满足本项目需求，完整合理，对本项目具有针对性，具备有效科学可行的实施能力，得8分。</w:t>
            </w:r>
            <w:r>
              <w:rPr>
                <w:rFonts w:hint="eastAsia" w:ascii="宋体" w:hAnsi="宋体" w:cs="宋体"/>
                <w:kern w:val="0"/>
                <w:sz w:val="21"/>
                <w:szCs w:val="21"/>
              </w:rPr>
              <w:br w:type="textWrapping"/>
            </w:r>
            <w:r>
              <w:rPr>
                <w:rFonts w:hint="eastAsia" w:ascii="宋体" w:hAnsi="宋体" w:cs="宋体"/>
                <w:kern w:val="0"/>
                <w:sz w:val="21"/>
                <w:szCs w:val="21"/>
              </w:rPr>
              <w:t>2.培训及技术支持方案满足本项目需求，相对完整，具有一定针对性，对本项目有实施能力，得5分。</w:t>
            </w:r>
            <w:r>
              <w:rPr>
                <w:rFonts w:hint="eastAsia" w:ascii="宋体" w:hAnsi="宋体" w:cs="宋体"/>
                <w:kern w:val="0"/>
                <w:sz w:val="21"/>
                <w:szCs w:val="21"/>
              </w:rPr>
              <w:br w:type="textWrapping"/>
            </w:r>
            <w:r>
              <w:rPr>
                <w:rFonts w:hint="eastAsia" w:ascii="宋体" w:hAnsi="宋体" w:cs="宋体"/>
                <w:kern w:val="0"/>
                <w:sz w:val="21"/>
                <w:szCs w:val="21"/>
              </w:rPr>
              <w:t>3.培训及技术支持方案少部分满足本项目需求，对本项目实施缺乏可行性，得2分。</w:t>
            </w:r>
            <w:r>
              <w:rPr>
                <w:rFonts w:hint="eastAsia" w:ascii="宋体" w:hAnsi="宋体" w:cs="宋体"/>
                <w:kern w:val="0"/>
                <w:sz w:val="21"/>
                <w:szCs w:val="21"/>
              </w:rPr>
              <w:br w:type="textWrapping"/>
            </w:r>
            <w:r>
              <w:rPr>
                <w:rFonts w:hint="eastAsia" w:ascii="宋体" w:hAnsi="宋体" w:cs="宋体"/>
                <w:kern w:val="0"/>
                <w:sz w:val="21"/>
                <w:szCs w:val="21"/>
              </w:rPr>
              <w:t>4.不提供不得分。</w:t>
            </w:r>
          </w:p>
        </w:tc>
        <w:tc>
          <w:tcPr>
            <w:tcW w:w="13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3AE759">
            <w:pPr>
              <w:spacing w:beforeLines="0" w:afterLines="0" w:line="360" w:lineRule="auto"/>
              <w:jc w:val="center"/>
              <w:rPr>
                <w:rFonts w:hint="eastAsia" w:ascii="宋体" w:hAnsi="宋体" w:eastAsia="宋体"/>
                <w:kern w:val="0"/>
                <w:sz w:val="21"/>
                <w:szCs w:val="21"/>
              </w:rPr>
            </w:pPr>
            <w:r>
              <w:rPr>
                <w:rFonts w:hint="eastAsia" w:ascii="宋体" w:hAnsi="宋体"/>
                <w:kern w:val="0"/>
                <w:sz w:val="21"/>
                <w:szCs w:val="21"/>
              </w:rPr>
              <w:t>8</w:t>
            </w:r>
          </w:p>
        </w:tc>
        <w:tc>
          <w:tcPr>
            <w:tcW w:w="1208"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A385F5A">
            <w:pPr>
              <w:snapToGrid w:val="0"/>
              <w:spacing w:beforeLines="0" w:afterLines="0" w:line="360" w:lineRule="auto"/>
              <w:ind w:left="210" w:leftChars="100"/>
              <w:jc w:val="center"/>
              <w:rPr>
                <w:rFonts w:hint="eastAsia" w:ascii="宋体" w:hAnsi="宋体"/>
                <w:kern w:val="0"/>
                <w:sz w:val="21"/>
                <w:szCs w:val="21"/>
              </w:rPr>
            </w:pPr>
          </w:p>
        </w:tc>
      </w:tr>
      <w:tr w14:paraId="4F1F79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1134" w:hRule="atLeast"/>
        </w:trPr>
        <w:tc>
          <w:tcPr>
            <w:tcW w:w="1987"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1F636A9">
            <w:pPr>
              <w:spacing w:beforeLines="0" w:afterLines="0" w:line="360" w:lineRule="auto"/>
              <w:jc w:val="center"/>
              <w:rPr>
                <w:rFonts w:hint="eastAsia" w:ascii="宋体" w:hAnsi="宋体"/>
                <w:kern w:val="0"/>
                <w:sz w:val="21"/>
                <w:szCs w:val="21"/>
              </w:rPr>
            </w:pPr>
            <w:r>
              <w:rPr>
                <w:rFonts w:hint="eastAsia" w:cs="宋体"/>
                <w:sz w:val="21"/>
                <w:szCs w:val="21"/>
              </w:rPr>
              <w:t>售后服务方案</w:t>
            </w:r>
          </w:p>
        </w:tc>
        <w:tc>
          <w:tcPr>
            <w:tcW w:w="398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0FBE13">
            <w:pPr>
              <w:spacing w:beforeLines="0" w:afterLines="0" w:line="360" w:lineRule="auto"/>
              <w:jc w:val="left"/>
              <w:rPr>
                <w:rFonts w:hint="eastAsia" w:ascii="宋体" w:hAnsi="宋体" w:cs="宋体"/>
                <w:sz w:val="21"/>
                <w:szCs w:val="21"/>
              </w:rPr>
            </w:pPr>
            <w:r>
              <w:rPr>
                <w:rFonts w:hint="eastAsia" w:ascii="宋体" w:hAnsi="宋体" w:cs="宋体"/>
                <w:kern w:val="0"/>
                <w:sz w:val="21"/>
                <w:szCs w:val="21"/>
              </w:rPr>
              <w:t>根据供应商对</w:t>
            </w:r>
            <w:r>
              <w:rPr>
                <w:rFonts w:hint="eastAsia" w:ascii="宋体" w:hAnsi="宋体" w:cs="宋体"/>
                <w:sz w:val="21"/>
                <w:szCs w:val="21"/>
              </w:rPr>
              <w:t>本项目制定的的售后服务方案（包括质保期、售后服务技术力量、质保期外的维修服务收费标准、其它服务承诺等）进行评审：</w:t>
            </w:r>
          </w:p>
          <w:p w14:paraId="7D4F896D">
            <w:pPr>
              <w:spacing w:beforeLines="0" w:afterLines="0" w:line="360" w:lineRule="auto"/>
              <w:jc w:val="left"/>
              <w:rPr>
                <w:rFonts w:hint="eastAsia" w:ascii="宋体" w:hAnsi="宋体" w:cs="宋体"/>
                <w:sz w:val="21"/>
                <w:szCs w:val="21"/>
              </w:rPr>
            </w:pPr>
            <w:r>
              <w:rPr>
                <w:rFonts w:hint="eastAsia" w:ascii="宋体" w:hAnsi="宋体" w:cs="宋体"/>
                <w:sz w:val="21"/>
                <w:szCs w:val="21"/>
              </w:rPr>
              <w:t>1.售后服务方案详细完善合理，切实科学可行，维修服务方案全面具体，完全满足或优于采购需求的，得8分；</w:t>
            </w:r>
          </w:p>
          <w:p w14:paraId="210F7E2A">
            <w:pPr>
              <w:spacing w:beforeLines="0" w:afterLines="0" w:line="360" w:lineRule="auto"/>
              <w:jc w:val="left"/>
              <w:rPr>
                <w:rFonts w:hint="eastAsia" w:ascii="宋体" w:hAnsi="宋体" w:cs="宋体"/>
                <w:sz w:val="21"/>
                <w:szCs w:val="21"/>
              </w:rPr>
            </w:pPr>
            <w:r>
              <w:rPr>
                <w:rFonts w:hint="eastAsia" w:ascii="宋体" w:hAnsi="宋体" w:cs="宋体"/>
                <w:sz w:val="21"/>
                <w:szCs w:val="21"/>
              </w:rPr>
              <w:t>2.售后服务方案相对完善详细，维修服务方案大部分满足采购需求，得5分；</w:t>
            </w:r>
          </w:p>
          <w:p w14:paraId="5AEC77A8">
            <w:pPr>
              <w:spacing w:beforeLines="0" w:afterLines="0" w:line="360" w:lineRule="auto"/>
              <w:jc w:val="left"/>
              <w:rPr>
                <w:rFonts w:hint="eastAsia" w:ascii="宋体" w:hAnsi="宋体" w:cs="宋体"/>
                <w:sz w:val="21"/>
                <w:szCs w:val="21"/>
              </w:rPr>
            </w:pPr>
            <w:r>
              <w:rPr>
                <w:rFonts w:hint="eastAsia" w:ascii="宋体" w:hAnsi="宋体" w:cs="宋体"/>
                <w:sz w:val="21"/>
                <w:szCs w:val="21"/>
              </w:rPr>
              <w:t>3.售后服务方案完整性欠缺，可行性可操作性低，维修服务方案部分满足或不满足采购需求，得2分；</w:t>
            </w:r>
          </w:p>
          <w:p w14:paraId="24B4CB55">
            <w:pPr>
              <w:spacing w:beforeLines="0" w:afterLines="0" w:line="360" w:lineRule="auto"/>
              <w:rPr>
                <w:rFonts w:hint="eastAsia" w:ascii="宋体" w:hAnsi="宋体" w:cs="宋体"/>
                <w:sz w:val="21"/>
                <w:szCs w:val="21"/>
              </w:rPr>
            </w:pPr>
            <w:r>
              <w:rPr>
                <w:rFonts w:hint="eastAsia" w:ascii="宋体" w:hAnsi="宋体" w:cs="宋体"/>
                <w:sz w:val="21"/>
                <w:szCs w:val="21"/>
              </w:rPr>
              <w:t>4.不提供不得分。</w:t>
            </w:r>
          </w:p>
        </w:tc>
        <w:tc>
          <w:tcPr>
            <w:tcW w:w="13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BE7140">
            <w:pPr>
              <w:spacing w:beforeLines="0" w:afterLines="0" w:line="360" w:lineRule="auto"/>
              <w:jc w:val="center"/>
              <w:rPr>
                <w:rFonts w:hint="eastAsia" w:ascii="宋体" w:hAnsi="宋体" w:eastAsia="宋体"/>
                <w:kern w:val="0"/>
                <w:sz w:val="21"/>
                <w:szCs w:val="21"/>
              </w:rPr>
            </w:pPr>
            <w:r>
              <w:rPr>
                <w:rFonts w:hint="eastAsia" w:ascii="宋体" w:hAnsi="宋体"/>
                <w:kern w:val="0"/>
                <w:sz w:val="21"/>
                <w:szCs w:val="21"/>
              </w:rPr>
              <w:t>8</w:t>
            </w:r>
          </w:p>
        </w:tc>
        <w:tc>
          <w:tcPr>
            <w:tcW w:w="1208"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B993261">
            <w:pPr>
              <w:widowControl/>
              <w:snapToGrid w:val="0"/>
              <w:spacing w:beforeLines="0" w:afterLines="0" w:line="360" w:lineRule="auto"/>
              <w:ind w:left="210" w:leftChars="100"/>
              <w:jc w:val="center"/>
              <w:rPr>
                <w:rFonts w:hint="eastAsia" w:ascii="宋体" w:hAnsi="宋体"/>
                <w:kern w:val="0"/>
                <w:sz w:val="21"/>
                <w:szCs w:val="21"/>
              </w:rPr>
            </w:pPr>
          </w:p>
        </w:tc>
      </w:tr>
      <w:tr w14:paraId="1A8FD8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1134" w:hRule="atLeast"/>
        </w:trPr>
        <w:tc>
          <w:tcPr>
            <w:tcW w:w="1987"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55E4A21">
            <w:pPr>
              <w:snapToGrid w:val="0"/>
              <w:spacing w:beforeLines="0" w:afterLines="0" w:line="360" w:lineRule="auto"/>
              <w:jc w:val="center"/>
              <w:rPr>
                <w:rFonts w:hint="eastAsia" w:ascii="宋体" w:hAnsi="宋体"/>
                <w:sz w:val="21"/>
                <w:szCs w:val="21"/>
              </w:rPr>
            </w:pPr>
            <w:r>
              <w:rPr>
                <w:rFonts w:hint="eastAsia" w:cs="宋体"/>
                <w:sz w:val="21"/>
                <w:szCs w:val="21"/>
              </w:rPr>
              <w:t>售后服务方案</w:t>
            </w:r>
          </w:p>
        </w:tc>
        <w:tc>
          <w:tcPr>
            <w:tcW w:w="398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B3EAD1">
            <w:pPr>
              <w:spacing w:beforeLines="0" w:afterLines="0" w:line="360" w:lineRule="auto"/>
              <w:jc w:val="left"/>
              <w:rPr>
                <w:rFonts w:hint="eastAsia" w:ascii="宋体" w:hAnsi="宋体" w:cs="宋体"/>
                <w:sz w:val="21"/>
                <w:szCs w:val="21"/>
              </w:rPr>
            </w:pPr>
            <w:r>
              <w:rPr>
                <w:rFonts w:hint="eastAsia" w:ascii="宋体" w:hAnsi="宋体" w:cs="宋体"/>
                <w:kern w:val="0"/>
                <w:sz w:val="21"/>
                <w:szCs w:val="21"/>
              </w:rPr>
              <w:t>根据供应商对</w:t>
            </w:r>
            <w:r>
              <w:rPr>
                <w:rFonts w:hint="eastAsia" w:ascii="宋体" w:hAnsi="宋体" w:cs="宋体"/>
                <w:sz w:val="21"/>
                <w:szCs w:val="21"/>
              </w:rPr>
              <w:t>本项目制定的产品质量问题退换货方案（包括退换货流程、退换货便利性说明）进行评审：</w:t>
            </w:r>
          </w:p>
          <w:p w14:paraId="043C7A6C">
            <w:pPr>
              <w:spacing w:beforeLines="0" w:afterLines="0" w:line="360" w:lineRule="auto"/>
              <w:jc w:val="left"/>
              <w:rPr>
                <w:rFonts w:hint="eastAsia" w:ascii="宋体" w:hAnsi="宋体" w:cs="宋体"/>
                <w:sz w:val="21"/>
                <w:szCs w:val="21"/>
              </w:rPr>
            </w:pPr>
            <w:r>
              <w:rPr>
                <w:rFonts w:hint="eastAsia" w:ascii="宋体" w:hAnsi="宋体" w:cs="宋体"/>
                <w:sz w:val="21"/>
                <w:szCs w:val="21"/>
              </w:rPr>
              <w:t>1.退换货方案科学合理，流程清晰，便捷程度高，响应速度快，完全满足或优于采购需求的，得8分；</w:t>
            </w:r>
            <w:r>
              <w:rPr>
                <w:rFonts w:hint="eastAsia" w:ascii="宋体" w:hAnsi="宋体" w:cs="宋体"/>
                <w:sz w:val="21"/>
                <w:szCs w:val="21"/>
              </w:rPr>
              <w:br w:type="textWrapping"/>
            </w:r>
            <w:r>
              <w:rPr>
                <w:rFonts w:hint="eastAsia" w:ascii="宋体" w:hAnsi="宋体" w:cs="宋体"/>
                <w:sz w:val="21"/>
                <w:szCs w:val="21"/>
              </w:rPr>
              <w:t>2.退换货方案流程便捷，响应速度相对快，具有一定的科学性合理性，大部分满足采购需求，得5分；</w:t>
            </w:r>
          </w:p>
          <w:p w14:paraId="690A1E85">
            <w:pPr>
              <w:spacing w:beforeLines="0" w:afterLines="0" w:line="360" w:lineRule="auto"/>
              <w:jc w:val="left"/>
              <w:rPr>
                <w:rFonts w:hint="eastAsia" w:ascii="宋体" w:hAnsi="宋体" w:cs="宋体"/>
                <w:sz w:val="21"/>
                <w:szCs w:val="21"/>
              </w:rPr>
            </w:pPr>
            <w:r>
              <w:rPr>
                <w:rFonts w:hint="eastAsia" w:ascii="宋体" w:hAnsi="宋体" w:cs="宋体"/>
                <w:sz w:val="21"/>
                <w:szCs w:val="21"/>
              </w:rPr>
              <w:t>3.</w:t>
            </w:r>
            <w:r>
              <w:rPr>
                <w:rFonts w:hint="eastAsia" w:ascii="宋体" w:hAnsi="宋体" w:cs="宋体"/>
                <w:kern w:val="0"/>
                <w:sz w:val="21"/>
                <w:szCs w:val="21"/>
              </w:rPr>
              <w:t>退换货方案</w:t>
            </w:r>
            <w:r>
              <w:rPr>
                <w:rFonts w:hint="eastAsia" w:ascii="宋体" w:hAnsi="宋体" w:cs="宋体"/>
                <w:sz w:val="21"/>
                <w:szCs w:val="21"/>
              </w:rPr>
              <w:t>流程不清晰，便捷速度响应效率一般，部分满足或不满足采购需求，得2分；</w:t>
            </w:r>
          </w:p>
          <w:p w14:paraId="06ABD246">
            <w:pPr>
              <w:spacing w:beforeLines="0" w:afterLines="0" w:line="360" w:lineRule="auto"/>
              <w:rPr>
                <w:rFonts w:hint="eastAsia" w:ascii="宋体" w:hAnsi="宋体" w:cs="宋体"/>
                <w:sz w:val="21"/>
                <w:szCs w:val="21"/>
              </w:rPr>
            </w:pPr>
            <w:r>
              <w:rPr>
                <w:rFonts w:hint="eastAsia" w:ascii="宋体" w:hAnsi="宋体" w:cs="宋体"/>
                <w:kern w:val="0"/>
                <w:sz w:val="21"/>
                <w:szCs w:val="21"/>
              </w:rPr>
              <w:t>4.</w:t>
            </w:r>
            <w:r>
              <w:rPr>
                <w:rFonts w:hint="eastAsia" w:ascii="宋体" w:hAnsi="宋体" w:cs="宋体"/>
                <w:sz w:val="21"/>
                <w:szCs w:val="21"/>
              </w:rPr>
              <w:t>不提供不得分。</w:t>
            </w:r>
          </w:p>
        </w:tc>
        <w:tc>
          <w:tcPr>
            <w:tcW w:w="13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959A7E">
            <w:pPr>
              <w:snapToGrid w:val="0"/>
              <w:spacing w:beforeLines="0" w:afterLines="0" w:line="360" w:lineRule="auto"/>
              <w:jc w:val="center"/>
              <w:rPr>
                <w:rFonts w:hint="eastAsia" w:ascii="宋体" w:hAnsi="宋体" w:eastAsia="宋体"/>
                <w:kern w:val="0"/>
                <w:sz w:val="21"/>
                <w:szCs w:val="21"/>
              </w:rPr>
            </w:pPr>
            <w:r>
              <w:rPr>
                <w:rFonts w:hint="eastAsia" w:ascii="宋体" w:hAnsi="宋体"/>
                <w:kern w:val="0"/>
                <w:sz w:val="21"/>
                <w:szCs w:val="21"/>
              </w:rPr>
              <w:t>8</w:t>
            </w:r>
          </w:p>
        </w:tc>
        <w:tc>
          <w:tcPr>
            <w:tcW w:w="1208"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3542874">
            <w:pPr>
              <w:widowControl/>
              <w:snapToGrid w:val="0"/>
              <w:spacing w:beforeLines="0" w:afterLines="0" w:line="360" w:lineRule="auto"/>
              <w:ind w:left="210" w:leftChars="100"/>
              <w:jc w:val="center"/>
              <w:rPr>
                <w:rFonts w:hint="eastAsia" w:ascii="宋体" w:hAnsi="宋体"/>
                <w:kern w:val="0"/>
                <w:sz w:val="21"/>
                <w:szCs w:val="21"/>
              </w:rPr>
            </w:pPr>
          </w:p>
        </w:tc>
      </w:tr>
      <w:tr w14:paraId="384BC3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1134" w:hRule="atLeast"/>
        </w:trPr>
        <w:tc>
          <w:tcPr>
            <w:tcW w:w="1987"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37AD0BA">
            <w:pPr>
              <w:snapToGrid w:val="0"/>
              <w:spacing w:beforeLines="0" w:afterLines="0" w:line="360" w:lineRule="auto"/>
              <w:jc w:val="center"/>
              <w:rPr>
                <w:rFonts w:hint="eastAsia" w:cs="宋体"/>
                <w:kern w:val="0"/>
                <w:sz w:val="21"/>
                <w:szCs w:val="21"/>
              </w:rPr>
            </w:pPr>
            <w:r>
              <w:rPr>
                <w:rFonts w:hint="eastAsia" w:cs="宋体"/>
                <w:kern w:val="0"/>
                <w:sz w:val="21"/>
                <w:szCs w:val="21"/>
              </w:rPr>
              <w:t>质量保证体系及措施</w:t>
            </w:r>
          </w:p>
        </w:tc>
        <w:tc>
          <w:tcPr>
            <w:tcW w:w="398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09F44D">
            <w:pPr>
              <w:spacing w:beforeLines="0" w:afterLines="0" w:line="360" w:lineRule="auto"/>
              <w:rPr>
                <w:rFonts w:hint="eastAsia" w:ascii="宋体" w:hAnsi="宋体" w:cs="宋体"/>
                <w:kern w:val="0"/>
                <w:sz w:val="21"/>
                <w:szCs w:val="21"/>
              </w:rPr>
            </w:pPr>
            <w:r>
              <w:rPr>
                <w:rFonts w:hint="eastAsia" w:ascii="宋体" w:hAnsi="宋体" w:cs="宋体"/>
                <w:kern w:val="0"/>
                <w:sz w:val="21"/>
                <w:szCs w:val="21"/>
              </w:rPr>
              <w:t>根据供应商对</w:t>
            </w:r>
            <w:r>
              <w:rPr>
                <w:rFonts w:hint="eastAsia" w:ascii="宋体" w:hAnsi="宋体" w:cs="宋体"/>
                <w:sz w:val="21"/>
                <w:szCs w:val="21"/>
              </w:rPr>
              <w:t>本项目制定的</w:t>
            </w:r>
            <w:r>
              <w:rPr>
                <w:rFonts w:hint="eastAsia" w:ascii="宋体" w:hAnsi="宋体" w:cs="宋体"/>
                <w:kern w:val="0"/>
                <w:sz w:val="21"/>
                <w:szCs w:val="21"/>
              </w:rPr>
              <w:t>质量保证体系及措施包括产品的质量、造成事故的责任承担及赔偿方案等内容进行评审：</w:t>
            </w:r>
          </w:p>
          <w:p w14:paraId="10976314">
            <w:pPr>
              <w:spacing w:beforeLines="0" w:afterLines="0" w:line="360" w:lineRule="auto"/>
              <w:rPr>
                <w:rFonts w:hint="eastAsia" w:ascii="宋体" w:hAnsi="宋体" w:cs="宋体"/>
                <w:kern w:val="0"/>
                <w:sz w:val="21"/>
                <w:szCs w:val="21"/>
              </w:rPr>
            </w:pPr>
            <w:r>
              <w:rPr>
                <w:rFonts w:hint="eastAsia" w:ascii="宋体" w:hAnsi="宋体" w:cs="宋体"/>
                <w:kern w:val="0"/>
                <w:sz w:val="21"/>
                <w:szCs w:val="21"/>
              </w:rPr>
              <w:t>1.有具体详细、可行的产品质量及服务质量保障体系及措施，产品质量及获得其他用户认可，质量服务保障及时，措施应对全面得当，</w:t>
            </w:r>
            <w:r>
              <w:rPr>
                <w:rFonts w:hint="eastAsia" w:ascii="宋体" w:hAnsi="宋体" w:cs="宋体"/>
                <w:sz w:val="21"/>
                <w:szCs w:val="21"/>
              </w:rPr>
              <w:t>完全满足或优于采购需求的，</w:t>
            </w:r>
            <w:r>
              <w:rPr>
                <w:rFonts w:hint="eastAsia" w:ascii="宋体" w:hAnsi="宋体" w:cs="宋体"/>
                <w:kern w:val="0"/>
                <w:sz w:val="21"/>
                <w:szCs w:val="21"/>
              </w:rPr>
              <w:t>得6分；</w:t>
            </w:r>
          </w:p>
          <w:p w14:paraId="06D26B1F">
            <w:pPr>
              <w:spacing w:beforeLines="0" w:afterLines="0" w:line="360" w:lineRule="auto"/>
              <w:rPr>
                <w:rFonts w:hint="eastAsia" w:ascii="宋体" w:hAnsi="宋体" w:cs="宋体"/>
                <w:kern w:val="0"/>
                <w:sz w:val="21"/>
                <w:szCs w:val="21"/>
              </w:rPr>
            </w:pPr>
            <w:r>
              <w:rPr>
                <w:rFonts w:hint="eastAsia" w:ascii="宋体" w:hAnsi="宋体" w:cs="宋体"/>
                <w:kern w:val="0"/>
                <w:sz w:val="21"/>
                <w:szCs w:val="21"/>
              </w:rPr>
              <w:t>2.有具体详细、可行的产品质量及服务质量保障体系及措施，产品质量及获得其他用户认可，质量服务保障及时性较好，措施较为全面，</w:t>
            </w:r>
            <w:r>
              <w:rPr>
                <w:rFonts w:hint="eastAsia" w:ascii="宋体" w:hAnsi="宋体" w:cs="宋体"/>
                <w:sz w:val="21"/>
                <w:szCs w:val="21"/>
              </w:rPr>
              <w:t>大部分满足采购需求，</w:t>
            </w:r>
            <w:r>
              <w:rPr>
                <w:rFonts w:hint="eastAsia" w:ascii="宋体" w:hAnsi="宋体" w:cs="宋体"/>
                <w:kern w:val="0"/>
                <w:sz w:val="21"/>
                <w:szCs w:val="21"/>
              </w:rPr>
              <w:t>得4分；</w:t>
            </w:r>
          </w:p>
          <w:p w14:paraId="55570D7D">
            <w:pPr>
              <w:spacing w:beforeLines="0" w:afterLines="0" w:line="360" w:lineRule="auto"/>
              <w:rPr>
                <w:rFonts w:hint="eastAsia" w:ascii="宋体" w:hAnsi="宋体" w:cs="宋体"/>
                <w:kern w:val="0"/>
                <w:sz w:val="21"/>
                <w:szCs w:val="21"/>
              </w:rPr>
            </w:pPr>
            <w:r>
              <w:rPr>
                <w:rFonts w:hint="eastAsia" w:ascii="宋体" w:hAnsi="宋体" w:cs="宋体"/>
                <w:kern w:val="0"/>
                <w:sz w:val="21"/>
                <w:szCs w:val="21"/>
              </w:rPr>
              <w:t>3.有具体的产品质量及服务质量保障体系及措施，但不够具体完善，应对方案一般，</w:t>
            </w:r>
            <w:r>
              <w:rPr>
                <w:rFonts w:hint="eastAsia" w:ascii="宋体" w:hAnsi="宋体" w:cs="宋体"/>
                <w:sz w:val="21"/>
                <w:szCs w:val="21"/>
              </w:rPr>
              <w:t>部分满足或不满足采购需求，</w:t>
            </w:r>
            <w:r>
              <w:rPr>
                <w:rFonts w:hint="eastAsia" w:ascii="宋体" w:hAnsi="宋体" w:cs="宋体"/>
                <w:kern w:val="0"/>
                <w:sz w:val="21"/>
                <w:szCs w:val="21"/>
              </w:rPr>
              <w:t>得2分；</w:t>
            </w:r>
          </w:p>
          <w:p w14:paraId="45C95E1B">
            <w:pPr>
              <w:spacing w:beforeLines="0" w:afterLines="0" w:line="360" w:lineRule="auto"/>
              <w:rPr>
                <w:rFonts w:hint="eastAsia" w:ascii="宋体" w:hAnsi="宋体" w:cs="宋体"/>
                <w:kern w:val="0"/>
                <w:sz w:val="21"/>
                <w:szCs w:val="21"/>
              </w:rPr>
            </w:pPr>
            <w:r>
              <w:rPr>
                <w:rFonts w:hint="eastAsia" w:ascii="宋体" w:hAnsi="宋体" w:cs="宋体"/>
                <w:kern w:val="0"/>
                <w:sz w:val="21"/>
                <w:szCs w:val="21"/>
              </w:rPr>
              <w:t>4.不提供不得分。</w:t>
            </w:r>
          </w:p>
        </w:tc>
        <w:tc>
          <w:tcPr>
            <w:tcW w:w="13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7CA55C">
            <w:pPr>
              <w:snapToGrid w:val="0"/>
              <w:spacing w:beforeLines="0" w:afterLines="0" w:line="360" w:lineRule="auto"/>
              <w:jc w:val="center"/>
              <w:rPr>
                <w:rFonts w:hint="eastAsia" w:ascii="宋体" w:hAnsi="宋体" w:eastAsia="宋体"/>
                <w:kern w:val="0"/>
                <w:sz w:val="21"/>
                <w:szCs w:val="21"/>
              </w:rPr>
            </w:pPr>
            <w:r>
              <w:rPr>
                <w:rFonts w:hint="eastAsia" w:ascii="宋体" w:hAnsi="宋体"/>
                <w:kern w:val="0"/>
                <w:sz w:val="21"/>
                <w:szCs w:val="21"/>
              </w:rPr>
              <w:t>6</w:t>
            </w:r>
          </w:p>
        </w:tc>
        <w:tc>
          <w:tcPr>
            <w:tcW w:w="1208"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7B347B3">
            <w:pPr>
              <w:widowControl/>
              <w:snapToGrid w:val="0"/>
              <w:spacing w:beforeLines="0" w:afterLines="0" w:line="360" w:lineRule="auto"/>
              <w:ind w:left="210" w:leftChars="100"/>
              <w:jc w:val="center"/>
              <w:rPr>
                <w:rFonts w:hint="eastAsia" w:ascii="宋体" w:hAnsi="宋体"/>
                <w:kern w:val="0"/>
                <w:sz w:val="21"/>
                <w:szCs w:val="21"/>
              </w:rPr>
            </w:pPr>
          </w:p>
        </w:tc>
      </w:tr>
      <w:tr w14:paraId="04A2CC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680" w:hRule="atLeast"/>
        </w:trPr>
        <w:tc>
          <w:tcPr>
            <w:tcW w:w="1987" w:type="dxa"/>
            <w:tcBorders>
              <w:top w:val="single" w:color="auto" w:sz="6" w:space="0"/>
              <w:left w:val="single" w:color="auto" w:sz="12" w:space="0"/>
              <w:bottom w:val="single" w:color="auto" w:sz="12" w:space="0"/>
              <w:right w:val="single" w:color="auto" w:sz="6" w:space="0"/>
              <w:tl2br w:val="nil"/>
              <w:tr2bl w:val="nil"/>
            </w:tcBorders>
            <w:noWrap w:val="0"/>
            <w:vAlign w:val="center"/>
          </w:tcPr>
          <w:p w14:paraId="62DE4574">
            <w:pPr>
              <w:snapToGrid w:val="0"/>
              <w:spacing w:before="120" w:beforeLines="50" w:afterLines="0" w:line="360" w:lineRule="auto"/>
              <w:jc w:val="center"/>
              <w:rPr>
                <w:rFonts w:hint="eastAsia" w:ascii="宋体" w:hAnsi="宋体"/>
                <w:sz w:val="21"/>
                <w:szCs w:val="21"/>
              </w:rPr>
            </w:pPr>
            <w:r>
              <w:rPr>
                <w:rFonts w:hint="eastAsia" w:ascii="宋体" w:hAnsi="宋体"/>
                <w:sz w:val="21"/>
                <w:szCs w:val="21"/>
              </w:rPr>
              <w:t>合    计</w:t>
            </w:r>
          </w:p>
        </w:tc>
        <w:tc>
          <w:tcPr>
            <w:tcW w:w="6526" w:type="dxa"/>
            <w:gridSpan w:val="3"/>
            <w:tcBorders>
              <w:top w:val="single" w:color="auto" w:sz="6" w:space="0"/>
              <w:left w:val="single" w:color="auto" w:sz="6" w:space="0"/>
              <w:bottom w:val="single" w:color="auto" w:sz="12" w:space="0"/>
              <w:right w:val="single" w:color="auto" w:sz="12" w:space="0"/>
              <w:tl2br w:val="nil"/>
              <w:tr2bl w:val="nil"/>
            </w:tcBorders>
            <w:noWrap w:val="0"/>
            <w:vAlign w:val="center"/>
          </w:tcPr>
          <w:p w14:paraId="250BFE6A">
            <w:pPr>
              <w:snapToGrid w:val="0"/>
              <w:spacing w:before="120" w:beforeLines="50" w:afterLines="0" w:line="360" w:lineRule="auto"/>
              <w:ind w:left="210" w:leftChars="100"/>
              <w:jc w:val="center"/>
              <w:rPr>
                <w:rFonts w:hint="eastAsia" w:ascii="宋体" w:hAnsi="宋体" w:cs="宋体"/>
                <w:kern w:val="0"/>
                <w:sz w:val="21"/>
                <w:szCs w:val="21"/>
              </w:rPr>
            </w:pPr>
            <w:r>
              <w:rPr>
                <w:rFonts w:hint="eastAsia" w:ascii="宋体" w:hAnsi="宋体" w:cs="宋体"/>
                <w:b/>
                <w:kern w:val="0"/>
                <w:sz w:val="21"/>
                <w:szCs w:val="21"/>
              </w:rPr>
              <w:t>50分</w:t>
            </w:r>
          </w:p>
        </w:tc>
      </w:tr>
    </w:tbl>
    <w:p w14:paraId="0256EFBE">
      <w:pPr>
        <w:spacing w:beforeLines="0" w:afterLines="0" w:line="360" w:lineRule="auto"/>
        <w:jc w:val="center"/>
        <w:rPr>
          <w:rFonts w:hint="eastAsia" w:ascii="宋体" w:hAnsi="宋体"/>
          <w:b/>
          <w:sz w:val="21"/>
          <w:szCs w:val="21"/>
        </w:rPr>
      </w:pPr>
    </w:p>
    <w:p w14:paraId="283B5B36">
      <w:pPr>
        <w:spacing w:beforeLines="0" w:afterLines="0" w:line="360" w:lineRule="auto"/>
        <w:jc w:val="center"/>
        <w:rPr>
          <w:rFonts w:hint="eastAsia" w:ascii="宋体" w:hAnsi="宋体"/>
          <w:b/>
          <w:sz w:val="21"/>
          <w:szCs w:val="21"/>
        </w:rPr>
      </w:pPr>
      <w:r>
        <w:rPr>
          <w:rFonts w:hint="eastAsia" w:ascii="宋体" w:hAnsi="宋体"/>
          <w:b/>
          <w:sz w:val="21"/>
          <w:szCs w:val="21"/>
        </w:rPr>
        <w:t xml:space="preserve">  价格评分表（30分）</w:t>
      </w:r>
    </w:p>
    <w:tbl>
      <w:tblPr>
        <w:tblStyle w:val="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94"/>
        <w:gridCol w:w="2171"/>
        <w:gridCol w:w="1387"/>
        <w:gridCol w:w="1387"/>
        <w:gridCol w:w="1387"/>
        <w:gridCol w:w="1387"/>
      </w:tblGrid>
      <w:tr w14:paraId="0D0FAF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94"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549686FB">
            <w:pPr>
              <w:snapToGrid w:val="0"/>
              <w:spacing w:beforeLines="0" w:afterLines="0"/>
              <w:jc w:val="center"/>
              <w:rPr>
                <w:rFonts w:hint="eastAsia" w:ascii="宋体" w:hAnsi="宋体"/>
                <w:b/>
                <w:sz w:val="21"/>
                <w:szCs w:val="21"/>
              </w:rPr>
            </w:pPr>
            <w:r>
              <w:rPr>
                <w:rFonts w:hint="eastAsia" w:ascii="宋体" w:hAnsi="宋体"/>
                <w:b/>
                <w:sz w:val="21"/>
                <w:szCs w:val="21"/>
              </w:rPr>
              <w:t>序号</w:t>
            </w:r>
          </w:p>
        </w:tc>
        <w:tc>
          <w:tcPr>
            <w:tcW w:w="2171" w:type="dxa"/>
            <w:tcBorders>
              <w:top w:val="single" w:color="auto" w:sz="12" w:space="0"/>
              <w:left w:val="single" w:color="auto" w:sz="6" w:space="0"/>
              <w:bottom w:val="single" w:color="auto" w:sz="6" w:space="0"/>
              <w:right w:val="single" w:color="auto" w:sz="4" w:space="0"/>
              <w:tl2br w:val="nil"/>
              <w:tr2bl w:val="nil"/>
            </w:tcBorders>
            <w:noWrap w:val="0"/>
            <w:vAlign w:val="center"/>
          </w:tcPr>
          <w:p w14:paraId="746B03B7">
            <w:pPr>
              <w:snapToGrid w:val="0"/>
              <w:spacing w:beforeLines="0" w:afterLines="0"/>
              <w:jc w:val="center"/>
              <w:rPr>
                <w:rFonts w:hint="eastAsia" w:ascii="宋体" w:hAnsi="宋体" w:eastAsia="宋体"/>
                <w:b/>
                <w:sz w:val="21"/>
                <w:szCs w:val="21"/>
              </w:rPr>
            </w:pPr>
            <w:r>
              <w:rPr>
                <w:rFonts w:hint="eastAsia" w:ascii="宋体" w:hAnsi="宋体"/>
                <w:b/>
                <w:sz w:val="21"/>
                <w:szCs w:val="21"/>
              </w:rPr>
              <w:t>供应商</w:t>
            </w:r>
          </w:p>
        </w:tc>
        <w:tc>
          <w:tcPr>
            <w:tcW w:w="1387" w:type="dxa"/>
            <w:tcBorders>
              <w:top w:val="single" w:color="auto" w:sz="12" w:space="0"/>
              <w:left w:val="single" w:color="auto" w:sz="4" w:space="0"/>
              <w:bottom w:val="single" w:color="auto" w:sz="6" w:space="0"/>
              <w:right w:val="single" w:color="auto" w:sz="6" w:space="0"/>
              <w:tl2br w:val="nil"/>
              <w:tr2bl w:val="nil"/>
            </w:tcBorders>
            <w:noWrap w:val="0"/>
            <w:vAlign w:val="center"/>
          </w:tcPr>
          <w:p w14:paraId="4BE8E069">
            <w:pPr>
              <w:snapToGrid w:val="0"/>
              <w:spacing w:beforeLines="0" w:afterLines="0"/>
              <w:jc w:val="center"/>
              <w:rPr>
                <w:rFonts w:hint="eastAsia" w:ascii="宋体" w:hAnsi="宋体"/>
                <w:b/>
                <w:sz w:val="21"/>
                <w:szCs w:val="21"/>
              </w:rPr>
            </w:pPr>
            <w:r>
              <w:rPr>
                <w:rFonts w:hint="eastAsia" w:ascii="宋体" w:hAnsi="宋体"/>
                <w:b/>
                <w:sz w:val="21"/>
                <w:szCs w:val="21"/>
                <w:lang w:val="en-US" w:eastAsia="zh-CN"/>
              </w:rPr>
              <w:t>响应</w:t>
            </w:r>
            <w:r>
              <w:rPr>
                <w:rFonts w:hint="eastAsia" w:ascii="宋体" w:hAnsi="宋体"/>
                <w:b/>
                <w:sz w:val="21"/>
                <w:szCs w:val="21"/>
              </w:rPr>
              <w:t>报价</w:t>
            </w:r>
          </w:p>
        </w:tc>
        <w:tc>
          <w:tcPr>
            <w:tcW w:w="1387"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311F6D71">
            <w:pPr>
              <w:snapToGrid w:val="0"/>
              <w:spacing w:beforeLines="0" w:afterLines="0"/>
              <w:jc w:val="center"/>
              <w:rPr>
                <w:rFonts w:hint="eastAsia" w:ascii="宋体" w:hAnsi="宋体"/>
                <w:b/>
                <w:sz w:val="21"/>
                <w:szCs w:val="21"/>
              </w:rPr>
            </w:pPr>
            <w:r>
              <w:rPr>
                <w:rFonts w:hint="eastAsia" w:ascii="宋体" w:hAnsi="宋体"/>
                <w:b/>
                <w:sz w:val="21"/>
                <w:szCs w:val="21"/>
              </w:rPr>
              <w:t>评标价</w:t>
            </w:r>
          </w:p>
        </w:tc>
        <w:tc>
          <w:tcPr>
            <w:tcW w:w="1387"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67C54449">
            <w:pPr>
              <w:snapToGrid w:val="0"/>
              <w:spacing w:beforeLines="0" w:afterLines="0"/>
              <w:jc w:val="center"/>
              <w:rPr>
                <w:rFonts w:hint="eastAsia" w:ascii="宋体" w:hAnsi="宋体"/>
                <w:b/>
                <w:sz w:val="21"/>
                <w:szCs w:val="21"/>
              </w:rPr>
            </w:pPr>
            <w:r>
              <w:rPr>
                <w:rFonts w:hint="eastAsia" w:ascii="宋体" w:hAnsi="宋体"/>
                <w:b/>
                <w:sz w:val="21"/>
                <w:szCs w:val="21"/>
              </w:rPr>
              <w:t>基准价</w:t>
            </w:r>
          </w:p>
        </w:tc>
        <w:tc>
          <w:tcPr>
            <w:tcW w:w="1387" w:type="dxa"/>
            <w:tcBorders>
              <w:top w:val="single" w:color="auto" w:sz="12" w:space="0"/>
              <w:left w:val="single" w:color="auto" w:sz="6" w:space="0"/>
              <w:bottom w:val="single" w:color="auto" w:sz="6" w:space="0"/>
              <w:right w:val="single" w:color="auto" w:sz="12" w:space="0"/>
              <w:tl2br w:val="nil"/>
              <w:tr2bl w:val="nil"/>
            </w:tcBorders>
            <w:noWrap w:val="0"/>
            <w:vAlign w:val="center"/>
          </w:tcPr>
          <w:p w14:paraId="2246F2BB">
            <w:pPr>
              <w:snapToGrid w:val="0"/>
              <w:spacing w:beforeLines="0" w:afterLines="0"/>
              <w:jc w:val="center"/>
              <w:rPr>
                <w:rFonts w:hint="eastAsia" w:ascii="宋体" w:hAnsi="宋体"/>
                <w:b/>
                <w:sz w:val="21"/>
                <w:szCs w:val="21"/>
              </w:rPr>
            </w:pPr>
            <w:r>
              <w:rPr>
                <w:rFonts w:hint="eastAsia" w:ascii="宋体" w:hAnsi="宋体"/>
                <w:b/>
                <w:sz w:val="21"/>
                <w:szCs w:val="21"/>
              </w:rPr>
              <w:t>价格得分</w:t>
            </w:r>
          </w:p>
        </w:tc>
      </w:tr>
      <w:tr w14:paraId="2C479B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94" w:type="dxa"/>
            <w:tcBorders>
              <w:top w:val="single" w:color="auto" w:sz="6" w:space="0"/>
              <w:left w:val="single" w:color="auto" w:sz="12" w:space="0"/>
              <w:bottom w:val="single" w:color="auto" w:sz="6" w:space="0"/>
              <w:right w:val="single" w:color="auto" w:sz="6" w:space="0"/>
              <w:tl2br w:val="nil"/>
              <w:tr2bl w:val="nil"/>
            </w:tcBorders>
            <w:noWrap w:val="0"/>
            <w:vAlign w:val="top"/>
          </w:tcPr>
          <w:p w14:paraId="6F4B1340">
            <w:pPr>
              <w:snapToGrid w:val="0"/>
              <w:spacing w:beforeLines="0" w:afterLines="0" w:line="360" w:lineRule="auto"/>
              <w:rPr>
                <w:rFonts w:hint="eastAsia" w:ascii="宋体" w:hAnsi="宋体"/>
                <w:sz w:val="21"/>
                <w:szCs w:val="21"/>
              </w:rPr>
            </w:pPr>
          </w:p>
        </w:tc>
        <w:tc>
          <w:tcPr>
            <w:tcW w:w="2171" w:type="dxa"/>
            <w:tcBorders>
              <w:top w:val="single" w:color="auto" w:sz="6" w:space="0"/>
              <w:left w:val="single" w:color="auto" w:sz="6" w:space="0"/>
              <w:bottom w:val="single" w:color="auto" w:sz="6" w:space="0"/>
              <w:right w:val="single" w:color="auto" w:sz="4" w:space="0"/>
              <w:tl2br w:val="nil"/>
              <w:tr2bl w:val="nil"/>
            </w:tcBorders>
            <w:noWrap w:val="0"/>
            <w:vAlign w:val="top"/>
          </w:tcPr>
          <w:p w14:paraId="31ADB6CB">
            <w:pPr>
              <w:snapToGrid w:val="0"/>
              <w:spacing w:beforeLines="0" w:afterLines="0" w:line="360" w:lineRule="auto"/>
              <w:rPr>
                <w:rFonts w:hint="eastAsia" w:ascii="宋体" w:hAnsi="宋体"/>
                <w:sz w:val="21"/>
                <w:szCs w:val="21"/>
              </w:rPr>
            </w:pPr>
          </w:p>
        </w:tc>
        <w:tc>
          <w:tcPr>
            <w:tcW w:w="1387" w:type="dxa"/>
            <w:tcBorders>
              <w:top w:val="single" w:color="auto" w:sz="6" w:space="0"/>
              <w:left w:val="single" w:color="auto" w:sz="4" w:space="0"/>
              <w:bottom w:val="single" w:color="auto" w:sz="6" w:space="0"/>
              <w:right w:val="single" w:color="auto" w:sz="6" w:space="0"/>
              <w:tl2br w:val="nil"/>
              <w:tr2bl w:val="nil"/>
            </w:tcBorders>
            <w:noWrap w:val="0"/>
            <w:vAlign w:val="top"/>
          </w:tcPr>
          <w:p w14:paraId="68E9A4F1">
            <w:pPr>
              <w:snapToGrid w:val="0"/>
              <w:spacing w:beforeLines="0" w:afterLines="0" w:line="360" w:lineRule="auto"/>
              <w:rPr>
                <w:rFonts w:hint="eastAsia" w:ascii="宋体" w:hAnsi="宋体"/>
                <w:sz w:val="21"/>
                <w:szCs w:val="21"/>
              </w:rPr>
            </w:pPr>
          </w:p>
        </w:tc>
        <w:tc>
          <w:tcPr>
            <w:tcW w:w="1387" w:type="dxa"/>
            <w:tcBorders>
              <w:top w:val="single" w:color="auto" w:sz="6" w:space="0"/>
              <w:left w:val="single" w:color="auto" w:sz="6" w:space="0"/>
              <w:bottom w:val="single" w:color="auto" w:sz="6" w:space="0"/>
              <w:right w:val="single" w:color="auto" w:sz="6" w:space="0"/>
              <w:tl2br w:val="nil"/>
              <w:tr2bl w:val="nil"/>
            </w:tcBorders>
            <w:noWrap w:val="0"/>
            <w:vAlign w:val="top"/>
          </w:tcPr>
          <w:p w14:paraId="78D7A108">
            <w:pPr>
              <w:snapToGrid w:val="0"/>
              <w:spacing w:beforeLines="0" w:afterLines="0" w:line="360" w:lineRule="auto"/>
              <w:rPr>
                <w:rFonts w:hint="eastAsia" w:ascii="宋体" w:hAnsi="宋体"/>
                <w:sz w:val="21"/>
                <w:szCs w:val="21"/>
              </w:rPr>
            </w:pPr>
          </w:p>
        </w:tc>
        <w:tc>
          <w:tcPr>
            <w:tcW w:w="1387" w:type="dxa"/>
            <w:tcBorders>
              <w:top w:val="single" w:color="auto" w:sz="6" w:space="0"/>
              <w:left w:val="single" w:color="auto" w:sz="6" w:space="0"/>
              <w:bottom w:val="single" w:color="auto" w:sz="6" w:space="0"/>
              <w:right w:val="single" w:color="auto" w:sz="6" w:space="0"/>
              <w:tl2br w:val="nil"/>
              <w:tr2bl w:val="nil"/>
            </w:tcBorders>
            <w:noWrap w:val="0"/>
            <w:vAlign w:val="top"/>
          </w:tcPr>
          <w:p w14:paraId="78509F9F">
            <w:pPr>
              <w:snapToGrid w:val="0"/>
              <w:spacing w:beforeLines="0" w:afterLines="0" w:line="360" w:lineRule="auto"/>
              <w:rPr>
                <w:rFonts w:hint="eastAsia" w:ascii="宋体" w:hAnsi="宋体"/>
                <w:sz w:val="21"/>
                <w:szCs w:val="21"/>
              </w:rPr>
            </w:pPr>
          </w:p>
        </w:tc>
        <w:tc>
          <w:tcPr>
            <w:tcW w:w="1387" w:type="dxa"/>
            <w:tcBorders>
              <w:top w:val="single" w:color="auto" w:sz="6" w:space="0"/>
              <w:left w:val="single" w:color="auto" w:sz="6" w:space="0"/>
              <w:bottom w:val="single" w:color="auto" w:sz="6" w:space="0"/>
              <w:right w:val="single" w:color="auto" w:sz="12" w:space="0"/>
              <w:tl2br w:val="nil"/>
              <w:tr2bl w:val="nil"/>
            </w:tcBorders>
            <w:noWrap w:val="0"/>
            <w:vAlign w:val="top"/>
          </w:tcPr>
          <w:p w14:paraId="075FFAE4">
            <w:pPr>
              <w:snapToGrid w:val="0"/>
              <w:spacing w:beforeLines="0" w:afterLines="0" w:line="360" w:lineRule="auto"/>
              <w:rPr>
                <w:rFonts w:hint="eastAsia" w:ascii="宋体" w:hAnsi="宋体"/>
                <w:sz w:val="21"/>
                <w:szCs w:val="21"/>
              </w:rPr>
            </w:pPr>
          </w:p>
        </w:tc>
      </w:tr>
      <w:tr w14:paraId="5F8032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94" w:type="dxa"/>
            <w:tcBorders>
              <w:top w:val="single" w:color="auto" w:sz="6" w:space="0"/>
              <w:left w:val="single" w:color="auto" w:sz="12" w:space="0"/>
              <w:bottom w:val="single" w:color="auto" w:sz="6" w:space="0"/>
              <w:right w:val="single" w:color="auto" w:sz="6" w:space="0"/>
              <w:tl2br w:val="nil"/>
              <w:tr2bl w:val="nil"/>
            </w:tcBorders>
            <w:noWrap w:val="0"/>
            <w:vAlign w:val="top"/>
          </w:tcPr>
          <w:p w14:paraId="634927BF">
            <w:pPr>
              <w:snapToGrid w:val="0"/>
              <w:spacing w:beforeLines="0" w:afterLines="0" w:line="360" w:lineRule="auto"/>
              <w:rPr>
                <w:rFonts w:hint="eastAsia" w:ascii="宋体" w:hAnsi="宋体"/>
                <w:sz w:val="21"/>
                <w:szCs w:val="21"/>
              </w:rPr>
            </w:pPr>
          </w:p>
        </w:tc>
        <w:tc>
          <w:tcPr>
            <w:tcW w:w="2171" w:type="dxa"/>
            <w:tcBorders>
              <w:top w:val="single" w:color="auto" w:sz="6" w:space="0"/>
              <w:left w:val="single" w:color="auto" w:sz="6" w:space="0"/>
              <w:bottom w:val="single" w:color="auto" w:sz="6" w:space="0"/>
              <w:right w:val="single" w:color="auto" w:sz="4" w:space="0"/>
              <w:tl2br w:val="nil"/>
              <w:tr2bl w:val="nil"/>
            </w:tcBorders>
            <w:noWrap w:val="0"/>
            <w:vAlign w:val="top"/>
          </w:tcPr>
          <w:p w14:paraId="76C834B7">
            <w:pPr>
              <w:snapToGrid w:val="0"/>
              <w:spacing w:beforeLines="0" w:afterLines="0" w:line="360" w:lineRule="auto"/>
              <w:rPr>
                <w:rFonts w:hint="eastAsia" w:ascii="宋体" w:hAnsi="宋体"/>
                <w:sz w:val="21"/>
                <w:szCs w:val="21"/>
              </w:rPr>
            </w:pPr>
          </w:p>
        </w:tc>
        <w:tc>
          <w:tcPr>
            <w:tcW w:w="1387" w:type="dxa"/>
            <w:tcBorders>
              <w:top w:val="single" w:color="auto" w:sz="6" w:space="0"/>
              <w:left w:val="single" w:color="auto" w:sz="4" w:space="0"/>
              <w:bottom w:val="single" w:color="auto" w:sz="6" w:space="0"/>
              <w:right w:val="single" w:color="auto" w:sz="6" w:space="0"/>
              <w:tl2br w:val="nil"/>
              <w:tr2bl w:val="nil"/>
            </w:tcBorders>
            <w:noWrap w:val="0"/>
            <w:vAlign w:val="top"/>
          </w:tcPr>
          <w:p w14:paraId="0E21C46A">
            <w:pPr>
              <w:snapToGrid w:val="0"/>
              <w:spacing w:beforeLines="0" w:afterLines="0" w:line="360" w:lineRule="auto"/>
              <w:rPr>
                <w:rFonts w:hint="eastAsia" w:ascii="宋体" w:hAnsi="宋体"/>
                <w:sz w:val="21"/>
                <w:szCs w:val="21"/>
              </w:rPr>
            </w:pPr>
          </w:p>
        </w:tc>
        <w:tc>
          <w:tcPr>
            <w:tcW w:w="1387" w:type="dxa"/>
            <w:tcBorders>
              <w:top w:val="single" w:color="auto" w:sz="6" w:space="0"/>
              <w:left w:val="single" w:color="auto" w:sz="6" w:space="0"/>
              <w:bottom w:val="single" w:color="auto" w:sz="6" w:space="0"/>
              <w:right w:val="single" w:color="auto" w:sz="6" w:space="0"/>
              <w:tl2br w:val="nil"/>
              <w:tr2bl w:val="nil"/>
            </w:tcBorders>
            <w:noWrap w:val="0"/>
            <w:vAlign w:val="top"/>
          </w:tcPr>
          <w:p w14:paraId="6ED1B305">
            <w:pPr>
              <w:snapToGrid w:val="0"/>
              <w:spacing w:beforeLines="0" w:afterLines="0" w:line="360" w:lineRule="auto"/>
              <w:rPr>
                <w:rFonts w:hint="eastAsia" w:ascii="宋体" w:hAnsi="宋体"/>
                <w:sz w:val="21"/>
                <w:szCs w:val="21"/>
              </w:rPr>
            </w:pPr>
          </w:p>
        </w:tc>
        <w:tc>
          <w:tcPr>
            <w:tcW w:w="1387" w:type="dxa"/>
            <w:tcBorders>
              <w:top w:val="single" w:color="auto" w:sz="6" w:space="0"/>
              <w:left w:val="single" w:color="auto" w:sz="6" w:space="0"/>
              <w:bottom w:val="single" w:color="auto" w:sz="6" w:space="0"/>
              <w:right w:val="single" w:color="auto" w:sz="6" w:space="0"/>
              <w:tl2br w:val="nil"/>
              <w:tr2bl w:val="nil"/>
            </w:tcBorders>
            <w:noWrap w:val="0"/>
            <w:vAlign w:val="top"/>
          </w:tcPr>
          <w:p w14:paraId="0D9F0E14">
            <w:pPr>
              <w:snapToGrid w:val="0"/>
              <w:spacing w:beforeLines="0" w:afterLines="0" w:line="360" w:lineRule="auto"/>
              <w:rPr>
                <w:rFonts w:hint="eastAsia" w:ascii="宋体" w:hAnsi="宋体"/>
                <w:sz w:val="21"/>
                <w:szCs w:val="21"/>
              </w:rPr>
            </w:pPr>
          </w:p>
        </w:tc>
        <w:tc>
          <w:tcPr>
            <w:tcW w:w="1387" w:type="dxa"/>
            <w:tcBorders>
              <w:top w:val="single" w:color="auto" w:sz="6" w:space="0"/>
              <w:left w:val="single" w:color="auto" w:sz="6" w:space="0"/>
              <w:bottom w:val="single" w:color="auto" w:sz="6" w:space="0"/>
              <w:right w:val="single" w:color="auto" w:sz="12" w:space="0"/>
              <w:tl2br w:val="nil"/>
              <w:tr2bl w:val="nil"/>
            </w:tcBorders>
            <w:noWrap w:val="0"/>
            <w:vAlign w:val="top"/>
          </w:tcPr>
          <w:p w14:paraId="5BCFB525">
            <w:pPr>
              <w:snapToGrid w:val="0"/>
              <w:spacing w:beforeLines="0" w:afterLines="0" w:line="360" w:lineRule="auto"/>
              <w:rPr>
                <w:rFonts w:hint="eastAsia" w:ascii="宋体" w:hAnsi="宋体"/>
                <w:sz w:val="21"/>
                <w:szCs w:val="21"/>
              </w:rPr>
            </w:pPr>
          </w:p>
        </w:tc>
      </w:tr>
      <w:tr w14:paraId="662A34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94" w:type="dxa"/>
            <w:tcBorders>
              <w:top w:val="single" w:color="auto" w:sz="6" w:space="0"/>
              <w:left w:val="single" w:color="auto" w:sz="12" w:space="0"/>
              <w:bottom w:val="single" w:color="auto" w:sz="6" w:space="0"/>
              <w:right w:val="single" w:color="auto" w:sz="6" w:space="0"/>
              <w:tl2br w:val="nil"/>
              <w:tr2bl w:val="nil"/>
            </w:tcBorders>
            <w:noWrap w:val="0"/>
            <w:vAlign w:val="top"/>
          </w:tcPr>
          <w:p w14:paraId="49F0C6B8">
            <w:pPr>
              <w:snapToGrid w:val="0"/>
              <w:spacing w:beforeLines="0" w:afterLines="0" w:line="360" w:lineRule="auto"/>
              <w:rPr>
                <w:rFonts w:hint="eastAsia" w:ascii="宋体" w:hAnsi="宋体"/>
                <w:sz w:val="21"/>
                <w:szCs w:val="21"/>
              </w:rPr>
            </w:pPr>
          </w:p>
        </w:tc>
        <w:tc>
          <w:tcPr>
            <w:tcW w:w="2171" w:type="dxa"/>
            <w:tcBorders>
              <w:top w:val="single" w:color="auto" w:sz="6" w:space="0"/>
              <w:left w:val="single" w:color="auto" w:sz="6" w:space="0"/>
              <w:bottom w:val="single" w:color="auto" w:sz="6" w:space="0"/>
              <w:right w:val="single" w:color="auto" w:sz="4" w:space="0"/>
              <w:tl2br w:val="nil"/>
              <w:tr2bl w:val="nil"/>
            </w:tcBorders>
            <w:noWrap w:val="0"/>
            <w:vAlign w:val="top"/>
          </w:tcPr>
          <w:p w14:paraId="34F45573">
            <w:pPr>
              <w:snapToGrid w:val="0"/>
              <w:spacing w:beforeLines="0" w:afterLines="0" w:line="360" w:lineRule="auto"/>
              <w:rPr>
                <w:rFonts w:hint="eastAsia" w:ascii="宋体" w:hAnsi="宋体"/>
                <w:sz w:val="21"/>
                <w:szCs w:val="21"/>
              </w:rPr>
            </w:pPr>
          </w:p>
        </w:tc>
        <w:tc>
          <w:tcPr>
            <w:tcW w:w="1387" w:type="dxa"/>
            <w:tcBorders>
              <w:top w:val="single" w:color="auto" w:sz="6" w:space="0"/>
              <w:left w:val="single" w:color="auto" w:sz="4" w:space="0"/>
              <w:bottom w:val="single" w:color="auto" w:sz="6" w:space="0"/>
              <w:right w:val="single" w:color="auto" w:sz="6" w:space="0"/>
              <w:tl2br w:val="nil"/>
              <w:tr2bl w:val="nil"/>
            </w:tcBorders>
            <w:noWrap w:val="0"/>
            <w:vAlign w:val="top"/>
          </w:tcPr>
          <w:p w14:paraId="30C7C688">
            <w:pPr>
              <w:snapToGrid w:val="0"/>
              <w:spacing w:beforeLines="0" w:afterLines="0" w:line="360" w:lineRule="auto"/>
              <w:rPr>
                <w:rFonts w:hint="eastAsia" w:ascii="宋体" w:hAnsi="宋体"/>
                <w:sz w:val="21"/>
                <w:szCs w:val="21"/>
              </w:rPr>
            </w:pPr>
          </w:p>
        </w:tc>
        <w:tc>
          <w:tcPr>
            <w:tcW w:w="1387" w:type="dxa"/>
            <w:tcBorders>
              <w:top w:val="single" w:color="auto" w:sz="6" w:space="0"/>
              <w:left w:val="single" w:color="auto" w:sz="6" w:space="0"/>
              <w:bottom w:val="single" w:color="auto" w:sz="6" w:space="0"/>
              <w:right w:val="single" w:color="auto" w:sz="6" w:space="0"/>
              <w:tl2br w:val="nil"/>
              <w:tr2bl w:val="nil"/>
            </w:tcBorders>
            <w:noWrap w:val="0"/>
            <w:vAlign w:val="top"/>
          </w:tcPr>
          <w:p w14:paraId="13454317">
            <w:pPr>
              <w:snapToGrid w:val="0"/>
              <w:spacing w:beforeLines="0" w:afterLines="0" w:line="360" w:lineRule="auto"/>
              <w:rPr>
                <w:rFonts w:hint="eastAsia" w:ascii="宋体" w:hAnsi="宋体"/>
                <w:sz w:val="21"/>
                <w:szCs w:val="21"/>
              </w:rPr>
            </w:pPr>
          </w:p>
        </w:tc>
        <w:tc>
          <w:tcPr>
            <w:tcW w:w="1387" w:type="dxa"/>
            <w:tcBorders>
              <w:top w:val="single" w:color="auto" w:sz="6" w:space="0"/>
              <w:left w:val="single" w:color="auto" w:sz="6" w:space="0"/>
              <w:bottom w:val="single" w:color="auto" w:sz="6" w:space="0"/>
              <w:right w:val="single" w:color="auto" w:sz="6" w:space="0"/>
              <w:tl2br w:val="nil"/>
              <w:tr2bl w:val="nil"/>
            </w:tcBorders>
            <w:noWrap w:val="0"/>
            <w:vAlign w:val="top"/>
          </w:tcPr>
          <w:p w14:paraId="21154D38">
            <w:pPr>
              <w:snapToGrid w:val="0"/>
              <w:spacing w:beforeLines="0" w:afterLines="0" w:line="360" w:lineRule="auto"/>
              <w:rPr>
                <w:rFonts w:hint="eastAsia" w:ascii="宋体" w:hAnsi="宋体"/>
                <w:sz w:val="21"/>
                <w:szCs w:val="21"/>
              </w:rPr>
            </w:pPr>
          </w:p>
        </w:tc>
        <w:tc>
          <w:tcPr>
            <w:tcW w:w="1387" w:type="dxa"/>
            <w:tcBorders>
              <w:top w:val="single" w:color="auto" w:sz="6" w:space="0"/>
              <w:left w:val="single" w:color="auto" w:sz="6" w:space="0"/>
              <w:bottom w:val="single" w:color="auto" w:sz="6" w:space="0"/>
              <w:right w:val="single" w:color="auto" w:sz="12" w:space="0"/>
              <w:tl2br w:val="nil"/>
              <w:tr2bl w:val="nil"/>
            </w:tcBorders>
            <w:noWrap w:val="0"/>
            <w:vAlign w:val="top"/>
          </w:tcPr>
          <w:p w14:paraId="548B86C7">
            <w:pPr>
              <w:snapToGrid w:val="0"/>
              <w:spacing w:beforeLines="0" w:afterLines="0" w:line="360" w:lineRule="auto"/>
              <w:rPr>
                <w:rFonts w:hint="eastAsia" w:ascii="宋体" w:hAnsi="宋体"/>
                <w:sz w:val="21"/>
                <w:szCs w:val="21"/>
              </w:rPr>
            </w:pPr>
          </w:p>
        </w:tc>
      </w:tr>
      <w:tr w14:paraId="243DC0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94" w:type="dxa"/>
            <w:tcBorders>
              <w:top w:val="single" w:color="auto" w:sz="6" w:space="0"/>
              <w:left w:val="single" w:color="auto" w:sz="12" w:space="0"/>
              <w:bottom w:val="single" w:color="auto" w:sz="6" w:space="0"/>
              <w:right w:val="single" w:color="auto" w:sz="6" w:space="0"/>
              <w:tl2br w:val="nil"/>
              <w:tr2bl w:val="nil"/>
            </w:tcBorders>
            <w:noWrap w:val="0"/>
            <w:vAlign w:val="top"/>
          </w:tcPr>
          <w:p w14:paraId="19FFFF96">
            <w:pPr>
              <w:snapToGrid w:val="0"/>
              <w:spacing w:beforeLines="0" w:afterLines="0" w:line="360" w:lineRule="auto"/>
              <w:rPr>
                <w:rFonts w:hint="eastAsia" w:ascii="宋体" w:hAnsi="宋体"/>
                <w:sz w:val="21"/>
                <w:szCs w:val="21"/>
              </w:rPr>
            </w:pPr>
          </w:p>
        </w:tc>
        <w:tc>
          <w:tcPr>
            <w:tcW w:w="2171" w:type="dxa"/>
            <w:tcBorders>
              <w:top w:val="single" w:color="auto" w:sz="6" w:space="0"/>
              <w:left w:val="single" w:color="auto" w:sz="6" w:space="0"/>
              <w:bottom w:val="single" w:color="auto" w:sz="6" w:space="0"/>
              <w:right w:val="single" w:color="auto" w:sz="4" w:space="0"/>
              <w:tl2br w:val="nil"/>
              <w:tr2bl w:val="nil"/>
            </w:tcBorders>
            <w:noWrap w:val="0"/>
            <w:vAlign w:val="top"/>
          </w:tcPr>
          <w:p w14:paraId="115AB8BD">
            <w:pPr>
              <w:snapToGrid w:val="0"/>
              <w:spacing w:beforeLines="0" w:afterLines="0" w:line="360" w:lineRule="auto"/>
              <w:rPr>
                <w:rFonts w:hint="eastAsia" w:ascii="宋体" w:hAnsi="宋体"/>
                <w:sz w:val="21"/>
                <w:szCs w:val="21"/>
              </w:rPr>
            </w:pPr>
          </w:p>
        </w:tc>
        <w:tc>
          <w:tcPr>
            <w:tcW w:w="1387" w:type="dxa"/>
            <w:tcBorders>
              <w:top w:val="single" w:color="auto" w:sz="6" w:space="0"/>
              <w:left w:val="single" w:color="auto" w:sz="4" w:space="0"/>
              <w:bottom w:val="single" w:color="auto" w:sz="6" w:space="0"/>
              <w:right w:val="single" w:color="auto" w:sz="6" w:space="0"/>
              <w:tl2br w:val="nil"/>
              <w:tr2bl w:val="nil"/>
            </w:tcBorders>
            <w:noWrap w:val="0"/>
            <w:vAlign w:val="top"/>
          </w:tcPr>
          <w:p w14:paraId="5BA404CF">
            <w:pPr>
              <w:snapToGrid w:val="0"/>
              <w:spacing w:beforeLines="0" w:afterLines="0" w:line="360" w:lineRule="auto"/>
              <w:rPr>
                <w:rFonts w:hint="eastAsia" w:ascii="宋体" w:hAnsi="宋体"/>
                <w:sz w:val="21"/>
                <w:szCs w:val="21"/>
              </w:rPr>
            </w:pPr>
          </w:p>
        </w:tc>
        <w:tc>
          <w:tcPr>
            <w:tcW w:w="1387" w:type="dxa"/>
            <w:tcBorders>
              <w:top w:val="single" w:color="auto" w:sz="6" w:space="0"/>
              <w:left w:val="single" w:color="auto" w:sz="6" w:space="0"/>
              <w:bottom w:val="single" w:color="auto" w:sz="6" w:space="0"/>
              <w:right w:val="single" w:color="auto" w:sz="6" w:space="0"/>
              <w:tl2br w:val="nil"/>
              <w:tr2bl w:val="nil"/>
            </w:tcBorders>
            <w:noWrap w:val="0"/>
            <w:vAlign w:val="top"/>
          </w:tcPr>
          <w:p w14:paraId="704C4270">
            <w:pPr>
              <w:snapToGrid w:val="0"/>
              <w:spacing w:beforeLines="0" w:afterLines="0" w:line="360" w:lineRule="auto"/>
              <w:rPr>
                <w:rFonts w:hint="eastAsia" w:ascii="宋体" w:hAnsi="宋体"/>
                <w:sz w:val="21"/>
                <w:szCs w:val="21"/>
              </w:rPr>
            </w:pPr>
          </w:p>
        </w:tc>
        <w:tc>
          <w:tcPr>
            <w:tcW w:w="1387" w:type="dxa"/>
            <w:tcBorders>
              <w:top w:val="single" w:color="auto" w:sz="6" w:space="0"/>
              <w:left w:val="single" w:color="auto" w:sz="6" w:space="0"/>
              <w:bottom w:val="single" w:color="auto" w:sz="6" w:space="0"/>
              <w:right w:val="single" w:color="auto" w:sz="6" w:space="0"/>
              <w:tl2br w:val="nil"/>
              <w:tr2bl w:val="nil"/>
            </w:tcBorders>
            <w:noWrap w:val="0"/>
            <w:vAlign w:val="top"/>
          </w:tcPr>
          <w:p w14:paraId="5E576D07">
            <w:pPr>
              <w:snapToGrid w:val="0"/>
              <w:spacing w:beforeLines="0" w:afterLines="0" w:line="360" w:lineRule="auto"/>
              <w:rPr>
                <w:rFonts w:hint="eastAsia" w:ascii="宋体" w:hAnsi="宋体"/>
                <w:sz w:val="21"/>
                <w:szCs w:val="21"/>
              </w:rPr>
            </w:pPr>
          </w:p>
        </w:tc>
        <w:tc>
          <w:tcPr>
            <w:tcW w:w="1387" w:type="dxa"/>
            <w:tcBorders>
              <w:top w:val="single" w:color="auto" w:sz="6" w:space="0"/>
              <w:left w:val="single" w:color="auto" w:sz="6" w:space="0"/>
              <w:bottom w:val="single" w:color="auto" w:sz="6" w:space="0"/>
              <w:right w:val="single" w:color="auto" w:sz="12" w:space="0"/>
              <w:tl2br w:val="nil"/>
              <w:tr2bl w:val="nil"/>
            </w:tcBorders>
            <w:noWrap w:val="0"/>
            <w:vAlign w:val="top"/>
          </w:tcPr>
          <w:p w14:paraId="5DE69E92">
            <w:pPr>
              <w:snapToGrid w:val="0"/>
              <w:spacing w:beforeLines="0" w:afterLines="0" w:line="360" w:lineRule="auto"/>
              <w:rPr>
                <w:rFonts w:hint="eastAsia" w:ascii="宋体" w:hAnsi="宋体"/>
                <w:sz w:val="21"/>
                <w:szCs w:val="21"/>
              </w:rPr>
            </w:pPr>
          </w:p>
        </w:tc>
      </w:tr>
    </w:tbl>
    <w:p w14:paraId="744FBEE9">
      <w:pPr>
        <w:spacing w:beforeLines="0" w:afterLines="0" w:line="360" w:lineRule="auto"/>
        <w:rPr>
          <w:rFonts w:hint="eastAsia" w:ascii="宋体" w:hAnsi="宋体"/>
          <w:b/>
          <w:sz w:val="21"/>
          <w:szCs w:val="21"/>
        </w:rPr>
      </w:pPr>
    </w:p>
    <w:p w14:paraId="40F06448">
      <w:pPr>
        <w:spacing w:beforeLines="0" w:afterLines="0" w:line="360" w:lineRule="auto"/>
        <w:rPr>
          <w:rFonts w:hint="eastAsia" w:ascii="宋体" w:hAnsi="宋体"/>
          <w:sz w:val="21"/>
          <w:szCs w:val="21"/>
        </w:rPr>
      </w:pPr>
      <w:r>
        <w:rPr>
          <w:rFonts w:hint="eastAsia" w:ascii="宋体" w:hAnsi="宋体"/>
          <w:sz w:val="21"/>
          <w:szCs w:val="21"/>
        </w:rPr>
        <w:t>备注：价格得分采用低价优先法计算，即满足采购</w:t>
      </w:r>
      <w:r>
        <w:rPr>
          <w:rFonts w:hint="eastAsia" w:ascii="宋体" w:hAnsi="宋体"/>
          <w:sz w:val="21"/>
          <w:szCs w:val="21"/>
          <w:lang w:val="en-US" w:eastAsia="zh-CN"/>
        </w:rPr>
        <w:t>需求</w:t>
      </w:r>
      <w:r>
        <w:rPr>
          <w:rFonts w:hint="eastAsia" w:ascii="宋体" w:hAnsi="宋体"/>
          <w:sz w:val="21"/>
          <w:szCs w:val="21"/>
        </w:rPr>
        <w:t>要求且价格最低的评标价为评标基准价（评标价指按照采购</w:t>
      </w:r>
      <w:r>
        <w:rPr>
          <w:rFonts w:hint="eastAsia" w:ascii="宋体" w:hAnsi="宋体"/>
          <w:sz w:val="21"/>
          <w:szCs w:val="21"/>
          <w:lang w:val="en-US" w:eastAsia="zh-CN"/>
        </w:rPr>
        <w:t>需求</w:t>
      </w:r>
      <w:bookmarkStart w:id="0" w:name="_GoBack"/>
      <w:bookmarkEnd w:id="0"/>
      <w:r>
        <w:rPr>
          <w:rFonts w:hint="eastAsia" w:ascii="宋体" w:hAnsi="宋体"/>
          <w:sz w:val="21"/>
          <w:szCs w:val="21"/>
        </w:rPr>
        <w:t>条款修正后的价格），价格得分为30分，其他供应商的价格得分按如下公式计算：</w:t>
      </w:r>
    </w:p>
    <w:p w14:paraId="69BE0A95">
      <w:pPr>
        <w:spacing w:beforeLines="0" w:afterLines="0" w:line="360" w:lineRule="auto"/>
        <w:jc w:val="center"/>
        <w:rPr>
          <w:rFonts w:hint="eastAsia" w:ascii="宋体" w:hAnsi="宋体"/>
          <w:sz w:val="21"/>
          <w:szCs w:val="21"/>
        </w:rPr>
      </w:pPr>
      <w:r>
        <w:rPr>
          <w:rFonts w:hint="eastAsia" w:ascii="宋体" w:hAnsi="宋体"/>
          <w:sz w:val="21"/>
          <w:szCs w:val="21"/>
        </w:rPr>
        <w:t>价格得分=（评标基准价÷评标价）×30</w:t>
      </w:r>
    </w:p>
    <w:p w14:paraId="6DAE81AD"/>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E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A86779"/>
    <w:rsid w:val="02971A1F"/>
    <w:rsid w:val="04E56A2C"/>
    <w:rsid w:val="05B52224"/>
    <w:rsid w:val="0F104242"/>
    <w:rsid w:val="105273AC"/>
    <w:rsid w:val="11A6098E"/>
    <w:rsid w:val="127F31E6"/>
    <w:rsid w:val="12A76BB6"/>
    <w:rsid w:val="13A86779"/>
    <w:rsid w:val="14534A60"/>
    <w:rsid w:val="168B3F27"/>
    <w:rsid w:val="1A171566"/>
    <w:rsid w:val="1F1A4EF4"/>
    <w:rsid w:val="22112D41"/>
    <w:rsid w:val="25C30B01"/>
    <w:rsid w:val="25D65EDB"/>
    <w:rsid w:val="26222A03"/>
    <w:rsid w:val="2B894FDF"/>
    <w:rsid w:val="315D3463"/>
    <w:rsid w:val="31774136"/>
    <w:rsid w:val="353C6D9F"/>
    <w:rsid w:val="3AD91B6C"/>
    <w:rsid w:val="3E2442CB"/>
    <w:rsid w:val="401D37D7"/>
    <w:rsid w:val="44B714FA"/>
    <w:rsid w:val="475A245D"/>
    <w:rsid w:val="49D52979"/>
    <w:rsid w:val="4B577D0E"/>
    <w:rsid w:val="4D356577"/>
    <w:rsid w:val="4E911429"/>
    <w:rsid w:val="51652EBF"/>
    <w:rsid w:val="5A1E43C2"/>
    <w:rsid w:val="5A245037"/>
    <w:rsid w:val="5BB77C2B"/>
    <w:rsid w:val="5C4B079D"/>
    <w:rsid w:val="5C741B35"/>
    <w:rsid w:val="60AA775F"/>
    <w:rsid w:val="617311B6"/>
    <w:rsid w:val="61BE13AE"/>
    <w:rsid w:val="629767E0"/>
    <w:rsid w:val="62D17124"/>
    <w:rsid w:val="656532B8"/>
    <w:rsid w:val="68145E82"/>
    <w:rsid w:val="689B1862"/>
    <w:rsid w:val="6A9441FD"/>
    <w:rsid w:val="6B486512"/>
    <w:rsid w:val="6E4D2ECF"/>
    <w:rsid w:val="6EE937B5"/>
    <w:rsid w:val="72454816"/>
    <w:rsid w:val="738B26B4"/>
    <w:rsid w:val="753F177D"/>
    <w:rsid w:val="77941691"/>
    <w:rsid w:val="78091CE1"/>
    <w:rsid w:val="789007C9"/>
    <w:rsid w:val="7A545AD5"/>
    <w:rsid w:val="7A9456C6"/>
    <w:rsid w:val="7C36314C"/>
    <w:rsid w:val="7DAB1C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spacing w:line="360" w:lineRule="auto"/>
      <w:jc w:val="center"/>
      <w:outlineLvl w:val="0"/>
    </w:pPr>
    <w:rPr>
      <w:rFonts w:ascii="Arial" w:hAnsi="Arial"/>
      <w:b/>
      <w:bCs/>
      <w:sz w:val="24"/>
      <w:szCs w:val="1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annotation text"/>
    <w:basedOn w:val="1"/>
    <w:uiPriority w:val="0"/>
    <w:pPr>
      <w:jc w:val="left"/>
    </w:pPr>
  </w:style>
  <w:style w:type="paragraph" w:customStyle="1" w:styleId="6">
    <w:name w:val="List Paragraph"/>
    <w:basedOn w:val="1"/>
    <w:qFormat/>
    <w:uiPriority w:val="34"/>
    <w:pPr>
      <w:ind w:firstLine="420" w:firstLineChars="200"/>
    </w:pPr>
    <w:rPr>
      <w:rFonts w:ascii="Times New Roman" w:hAnsi="Times New Roman" w:eastAsia="黑体" w:cs="Times New Roman"/>
      <w:bCs/>
      <w:sz w:val="30"/>
      <w:szCs w:val="30"/>
    </w:rPr>
  </w:style>
  <w:style w:type="paragraph" w:customStyle="1" w:styleId="7">
    <w:name w:val="Table Paragraph"/>
    <w:basedOn w:val="1"/>
    <w:qFormat/>
    <w:uiPriority w:val="1"/>
    <w:pPr>
      <w:autoSpaceDE w:val="0"/>
      <w:autoSpaceDN w:val="0"/>
      <w:adjustRightInd w:val="0"/>
      <w:jc w:val="left"/>
    </w:pPr>
    <w:rPr>
      <w:rFonts w:ascii="仿宋_GB2312" w:hAnsi="仿宋_GB2312" w:eastAsia="仿宋_GB2312" w:cs="仿宋_GB2312"/>
      <w:kern w:val="0"/>
      <w:sz w:val="20"/>
      <w:szCs w:val="20"/>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区卫生和计划生育局</Company>
  <Pages>4</Pages>
  <Words>3107</Words>
  <Characters>3227</Characters>
  <Lines>0</Lines>
  <Paragraphs>0</Paragraphs>
  <TotalTime>0</TotalTime>
  <ScaleCrop>false</ScaleCrop>
  <LinksUpToDate>false</LinksUpToDate>
  <CharactersWithSpaces>3234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2021-02-26T01:42:00Z</dcterms:created>
  <dc:creator>Administrator</dc:creator>
  <cp:lastModifiedBy>中经</cp:lastModifiedBy>
  <dcterms:modified xsi:type="dcterms:W3CDTF">2026-08-17T07:27:25Z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eyJoZGlkIjoiOTc2OWE0Y2VkN2ZhMjBjMGU5ODljMTIzNmMwYzA4OWYiLCJ1c2VySWQiOiI2NDc4NTcyODAifQ==</vt:lpwstr>
  </property>
  <property fmtid="{D5CDD505-2E9C-101B-9397-08002B2CF9AE}" pid="4" name="ICV">
    <vt:lpwstr>25C1AE8568D34218B226DE3F2CB0AAA5_13</vt:lpwstr>
  </property>
</Properties>
</file>