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方正小标宋_GBK" w:hAnsi="方正小标宋_GBK" w:eastAsia="方正小标宋_GBK" w:cs="方正小标宋_GBK"/>
          <w:sz w:val="44"/>
          <w:szCs w:val="44"/>
        </w:rPr>
      </w:pPr>
      <w:bookmarkStart w:id="0" w:name="_GoBack"/>
      <w:bookmarkEnd w:id="0"/>
      <w:r>
        <w:rPr>
          <w:rFonts w:hint="eastAsia" w:ascii="方正小标宋_GBK" w:hAnsi="方正小标宋_GBK" w:eastAsia="方正小标宋_GBK" w:cs="方正小标宋_GBK"/>
          <w:sz w:val="44"/>
          <w:szCs w:val="44"/>
          <w:lang w:eastAsia="zh-CN"/>
        </w:rPr>
        <w:t>广州市天河区中医医院</w:t>
      </w:r>
      <w:r>
        <w:rPr>
          <w:rFonts w:hint="eastAsia" w:ascii="方正小标宋_GBK" w:hAnsi="方正小标宋_GBK" w:eastAsia="方正小标宋_GBK" w:cs="方正小标宋_GBK"/>
          <w:sz w:val="44"/>
          <w:szCs w:val="44"/>
        </w:rPr>
        <w:t>2026年度医疗责任险及安全生产责任保险服务项目</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用户需求书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黑体" w:hAnsi="黑体" w:eastAsia="黑体" w:cs="黑体"/>
          <w:sz w:val="32"/>
          <w:szCs w:val="32"/>
        </w:rPr>
      </w:pPr>
      <w:r>
        <w:rPr>
          <w:rFonts w:hint="eastAsia" w:ascii="黑体" w:hAnsi="黑体" w:eastAsia="黑体" w:cs="黑体"/>
          <w:sz w:val="32"/>
          <w:szCs w:val="32"/>
        </w:rPr>
        <w:t>一、项目概况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楷体" w:hAnsi="楷体" w:eastAsia="楷体" w:cs="楷体"/>
          <w:sz w:val="32"/>
          <w:szCs w:val="32"/>
        </w:rPr>
      </w:pPr>
      <w:r>
        <w:rPr>
          <w:rFonts w:hint="eastAsia" w:ascii="楷体" w:hAnsi="楷体" w:eastAsia="楷体" w:cs="楷体"/>
          <w:sz w:val="32"/>
          <w:szCs w:val="32"/>
        </w:rPr>
        <w:t>（一）项目最高限价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本项目整体综合最高限价：人民币340000元；其中医疗责任险最高限价300000元，安全生产责任保险最高限价40000元。</w:t>
      </w:r>
      <w:r>
        <w:rPr>
          <w:rFonts w:hint="eastAsia" w:ascii="Times New Roman" w:hAnsi="Times New Roman" w:eastAsia="仿宋_GB2312" w:cs="Times New Roman"/>
          <w:sz w:val="32"/>
          <w:szCs w:val="32"/>
          <w:lang w:val="en-US" w:eastAsia="zh-CN"/>
        </w:rPr>
        <w:t>供应商</w:t>
      </w:r>
      <w:r>
        <w:rPr>
          <w:rFonts w:hint="default" w:ascii="Times New Roman" w:hAnsi="Times New Roman" w:eastAsia="仿宋_GB2312" w:cs="Times New Roman"/>
          <w:sz w:val="32"/>
          <w:szCs w:val="32"/>
        </w:rPr>
        <w:t>投标总报价不得超出本项目综合最高限价，各分项报价不得超过对应分项最高限价，否则按无效投标处理。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default" w:ascii="楷体" w:hAnsi="楷体" w:eastAsia="楷体" w:cs="楷体"/>
          <w:sz w:val="32"/>
          <w:szCs w:val="32"/>
        </w:rPr>
      </w:pPr>
      <w:r>
        <w:rPr>
          <w:rFonts w:hint="default" w:ascii="楷体" w:hAnsi="楷体" w:eastAsia="楷体" w:cs="楷体"/>
          <w:sz w:val="32"/>
          <w:szCs w:val="32"/>
        </w:rPr>
        <w:t>（二）供应商资格要求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1.符合《中华人民共和国政府采购法》第二十二条供应商资格条件。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供应商</w:t>
      </w:r>
      <w:r>
        <w:rPr>
          <w:rFonts w:hint="default" w:ascii="Times New Roman" w:hAnsi="Times New Roman" w:eastAsia="仿宋_GB2312" w:cs="Times New Roman"/>
          <w:sz w:val="32"/>
          <w:szCs w:val="32"/>
        </w:rPr>
        <w:t>必须为经国家金融监督管理机构批准，在中华人民共和国境内设立和营业，并被核定可在广州市境内依法经营责任保险业务的保险公司或其分支机构（须提供《保险许可证》等法定资格证件复印件并加盖公章）；同一保险公司仅允许一家分支机构参加本项目，多家分支机构同时授权投标、总公司与分支机构同时参与投标的，全部按无效投标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3.本项目不接受联合体投标。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default" w:ascii="楷体" w:hAnsi="楷体" w:eastAsia="楷体" w:cs="楷体"/>
          <w:sz w:val="32"/>
          <w:szCs w:val="32"/>
        </w:rPr>
      </w:pPr>
      <w:r>
        <w:rPr>
          <w:rFonts w:hint="default" w:ascii="楷体" w:hAnsi="楷体" w:eastAsia="楷体" w:cs="楷体"/>
          <w:sz w:val="32"/>
          <w:szCs w:val="32"/>
        </w:rPr>
        <w:t>（三）采购内容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确定1家成交供应商，为采购人广州市天河区中医医院提供2026年度医疗责任险、安全生产责任保险全套保险服务。本项目为整体采购，</w:t>
      </w:r>
      <w:r>
        <w:rPr>
          <w:rFonts w:hint="eastAsia" w:ascii="Times New Roman" w:hAnsi="Times New Roman" w:eastAsia="仿宋_GB2312" w:cs="Times New Roman"/>
          <w:sz w:val="32"/>
          <w:szCs w:val="32"/>
          <w:lang w:val="en-US" w:eastAsia="zh-CN"/>
        </w:rPr>
        <w:t>供应商</w:t>
      </w:r>
      <w:r>
        <w:rPr>
          <w:rFonts w:hint="default" w:ascii="Times New Roman" w:hAnsi="Times New Roman" w:eastAsia="仿宋_GB2312" w:cs="Times New Roman"/>
          <w:sz w:val="32"/>
          <w:szCs w:val="32"/>
        </w:rPr>
        <w:t>必须对全部采购标的完整投标，不得拆分、缺项投标，仅对部分标的投标作无效投标处理。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default" w:ascii="楷体" w:hAnsi="楷体" w:eastAsia="楷体" w:cs="楷体"/>
          <w:sz w:val="32"/>
          <w:szCs w:val="32"/>
        </w:rPr>
      </w:pPr>
      <w:r>
        <w:rPr>
          <w:rFonts w:hint="default" w:ascii="楷体" w:hAnsi="楷体" w:eastAsia="楷体" w:cs="楷体"/>
          <w:sz w:val="32"/>
          <w:szCs w:val="32"/>
        </w:rPr>
        <w:t>（四）服务对象基础信息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广州市天河区中医医院为二级甲等综合医疗机构；注册床位303张，开放床位</w:t>
      </w:r>
      <w:r>
        <w:rPr>
          <w:rFonts w:hint="default" w:ascii="Times New Roman" w:hAnsi="Times New Roman" w:eastAsia="仿宋_GB2312" w:cs="Times New Roman"/>
          <w:sz w:val="32"/>
          <w:szCs w:val="32"/>
          <w:lang w:val="en-US" w:eastAsia="zh-CN"/>
        </w:rPr>
        <w:t>274</w:t>
      </w:r>
      <w:r>
        <w:rPr>
          <w:rFonts w:hint="default" w:ascii="Times New Roman" w:hAnsi="Times New Roman" w:eastAsia="仿宋_GB2312" w:cs="Times New Roman"/>
          <w:sz w:val="32"/>
          <w:szCs w:val="32"/>
        </w:rPr>
        <w:t>张；一线医务人员数量</w:t>
      </w:r>
      <w:r>
        <w:rPr>
          <w:rFonts w:hint="eastAsia" w:ascii="Times New Roman" w:hAnsi="Times New Roman" w:eastAsia="仿宋_GB2312" w:cs="Times New Roman"/>
          <w:sz w:val="32"/>
          <w:szCs w:val="32"/>
          <w:lang w:val="en-US" w:eastAsia="zh-CN"/>
        </w:rPr>
        <w:t>426</w:t>
      </w:r>
      <w:r>
        <w:rPr>
          <w:rFonts w:hint="default" w:ascii="Times New Roman" w:hAnsi="Times New Roman" w:eastAsia="仿宋_GB2312" w:cs="Times New Roman"/>
          <w:sz w:val="32"/>
          <w:szCs w:val="32"/>
        </w:rPr>
        <w:t>人；年门诊人次约</w:t>
      </w:r>
      <w:r>
        <w:rPr>
          <w:rFonts w:hint="eastAsia" w:ascii="Times New Roman" w:hAnsi="Times New Roman" w:eastAsia="仿宋_GB2312" w:cs="Times New Roman"/>
          <w:sz w:val="32"/>
          <w:szCs w:val="32"/>
          <w:lang w:val="en-US" w:eastAsia="zh-CN"/>
        </w:rPr>
        <w:t>429102</w:t>
      </w:r>
      <w:r>
        <w:rPr>
          <w:rFonts w:hint="default" w:ascii="Times New Roman" w:hAnsi="Times New Roman" w:eastAsia="仿宋_GB2312" w:cs="Times New Roman"/>
          <w:sz w:val="32"/>
          <w:szCs w:val="32"/>
        </w:rPr>
        <w:t>人次；年出院病人</w:t>
      </w:r>
      <w:r>
        <w:rPr>
          <w:rFonts w:hint="eastAsia" w:ascii="Times New Roman" w:hAnsi="Times New Roman" w:eastAsia="仿宋_GB2312" w:cs="Times New Roman"/>
          <w:sz w:val="32"/>
          <w:szCs w:val="32"/>
          <w:lang w:val="en-US" w:eastAsia="zh-CN"/>
        </w:rPr>
        <w:t>7986</w:t>
      </w:r>
      <w:r>
        <w:rPr>
          <w:rFonts w:hint="default" w:ascii="Times New Roman" w:hAnsi="Times New Roman" w:eastAsia="仿宋_GB2312" w:cs="Times New Roman"/>
          <w:sz w:val="32"/>
          <w:szCs w:val="32"/>
        </w:rPr>
        <w:t>人次；上年度住院手术</w:t>
      </w:r>
      <w:r>
        <w:rPr>
          <w:rFonts w:hint="eastAsia" w:ascii="Times New Roman" w:hAnsi="Times New Roman" w:eastAsia="仿宋_GB2312" w:cs="Times New Roman"/>
          <w:sz w:val="32"/>
          <w:szCs w:val="32"/>
          <w:lang w:val="en-US" w:eastAsia="zh-CN"/>
        </w:rPr>
        <w:t>464</w:t>
      </w:r>
      <w:r>
        <w:rPr>
          <w:rFonts w:hint="default" w:ascii="Times New Roman" w:hAnsi="Times New Roman" w:eastAsia="仿宋_GB2312" w:cs="Times New Roman"/>
          <w:sz w:val="32"/>
          <w:szCs w:val="32"/>
        </w:rPr>
        <w:t>例；在册员工</w:t>
      </w:r>
      <w:r>
        <w:rPr>
          <w:rFonts w:hint="eastAsia" w:ascii="Times New Roman" w:hAnsi="Times New Roman" w:eastAsia="仿宋_GB2312" w:cs="Times New Roman"/>
          <w:sz w:val="32"/>
          <w:szCs w:val="32"/>
          <w:lang w:val="en-US" w:eastAsia="zh-CN"/>
        </w:rPr>
        <w:t>499</w:t>
      </w:r>
      <w:r>
        <w:rPr>
          <w:rFonts w:hint="default" w:ascii="Times New Roman" w:hAnsi="Times New Roman" w:eastAsia="仿宋_GB2312" w:cs="Times New Roman"/>
          <w:sz w:val="32"/>
          <w:szCs w:val="32"/>
        </w:rPr>
        <w:t>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承保场所包含：</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1</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医院本部：天河区黄埔大道中棠石路9号；</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天河区人民政府医务室：天河区天府路1号；</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3</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广州市天河区中医医院智谷院区：天河区新塘街道天年街399号；</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4</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广州市天河区老干部活动中心医疗点：天河区龙口中路166号老干部活动中心7楼706室</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高新园区医疗点</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天河区新塘街高普路1039号D栋101室</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default" w:ascii="楷体" w:hAnsi="楷体" w:eastAsia="楷体" w:cs="楷体"/>
          <w:sz w:val="32"/>
          <w:szCs w:val="32"/>
        </w:rPr>
      </w:pPr>
      <w:r>
        <w:rPr>
          <w:rFonts w:hint="default" w:ascii="楷体" w:hAnsi="楷体" w:eastAsia="楷体" w:cs="楷体"/>
          <w:sz w:val="32"/>
          <w:szCs w:val="32"/>
        </w:rPr>
        <w:t>（五）服务期限（保险期限）</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保险期限：12个月，自2026年10月21日零时起至2027年10月20日二十四时止。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重要提示：</w:t>
      </w:r>
      <w:r>
        <w:rPr>
          <w:rFonts w:hint="eastAsia" w:ascii="Times New Roman" w:hAnsi="Times New Roman" w:eastAsia="仿宋_GB2312" w:cs="Times New Roman"/>
          <w:sz w:val="32"/>
          <w:szCs w:val="32"/>
          <w:lang w:val="en-US" w:eastAsia="zh-CN"/>
        </w:rPr>
        <w:t>供应商</w:t>
      </w:r>
      <w:r>
        <w:rPr>
          <w:rFonts w:hint="default" w:ascii="Times New Roman" w:hAnsi="Times New Roman" w:eastAsia="仿宋_GB2312" w:cs="Times New Roman"/>
          <w:sz w:val="32"/>
          <w:szCs w:val="32"/>
        </w:rPr>
        <w:t>须充分考虑服务期内物价水平、人员薪金调整因素，本项目服务期内合同总价款不作任何调整。</w:t>
      </w:r>
    </w:p>
    <w:tbl>
      <w:tblPr>
        <w:tblStyle w:val="5"/>
        <w:tblW w:w="922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808"/>
        <w:gridCol w:w="3021"/>
        <w:gridCol w:w="1080"/>
        <w:gridCol w:w="1575"/>
        <w:gridCol w:w="27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55" w:hRule="atLeast"/>
          <w:jc w:val="center"/>
        </w:trPr>
        <w:tc>
          <w:tcPr>
            <w:tcW w:w="8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i w:val="0"/>
                <w:color w:val="000000"/>
                <w:sz w:val="32"/>
                <w:szCs w:val="32"/>
                <w:u w:val="none"/>
              </w:rPr>
            </w:pPr>
            <w:r>
              <w:rPr>
                <w:rFonts w:hint="default" w:ascii="Times New Roman" w:hAnsi="Times New Roman" w:eastAsia="仿宋_GB2312" w:cs="Times New Roman"/>
                <w:b/>
                <w:i w:val="0"/>
                <w:color w:val="000000"/>
                <w:kern w:val="0"/>
                <w:sz w:val="32"/>
                <w:szCs w:val="32"/>
                <w:u w:val="none"/>
                <w:lang w:val="en-US" w:eastAsia="zh-CN" w:bidi="ar"/>
              </w:rPr>
              <w:t>序号</w:t>
            </w:r>
          </w:p>
        </w:tc>
        <w:tc>
          <w:tcPr>
            <w:tcW w:w="30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i w:val="0"/>
                <w:color w:val="000000"/>
                <w:sz w:val="32"/>
                <w:szCs w:val="32"/>
                <w:u w:val="none"/>
              </w:rPr>
            </w:pPr>
            <w:r>
              <w:rPr>
                <w:rFonts w:hint="default" w:ascii="Times New Roman" w:hAnsi="Times New Roman" w:eastAsia="仿宋_GB2312" w:cs="Times New Roman"/>
                <w:b/>
                <w:i w:val="0"/>
                <w:color w:val="000000"/>
                <w:kern w:val="0"/>
                <w:sz w:val="32"/>
                <w:szCs w:val="32"/>
                <w:u w:val="none"/>
                <w:lang w:val="en-US" w:eastAsia="zh-CN" w:bidi="ar"/>
              </w:rPr>
              <w:t>采购标的</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i w:val="0"/>
                <w:color w:val="000000"/>
                <w:sz w:val="32"/>
                <w:szCs w:val="32"/>
                <w:u w:val="none"/>
              </w:rPr>
            </w:pPr>
            <w:r>
              <w:rPr>
                <w:rFonts w:hint="default" w:ascii="Times New Roman" w:hAnsi="Times New Roman" w:eastAsia="仿宋_GB2312" w:cs="Times New Roman"/>
                <w:b/>
                <w:i w:val="0"/>
                <w:color w:val="000000"/>
                <w:kern w:val="0"/>
                <w:sz w:val="32"/>
                <w:szCs w:val="32"/>
                <w:u w:val="none"/>
                <w:lang w:val="en-US" w:eastAsia="zh-CN" w:bidi="ar"/>
              </w:rPr>
              <w:t>单位</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i w:val="0"/>
                <w:color w:val="000000"/>
                <w:sz w:val="32"/>
                <w:szCs w:val="32"/>
                <w:u w:val="none"/>
              </w:rPr>
            </w:pPr>
            <w:r>
              <w:rPr>
                <w:rFonts w:hint="default" w:ascii="Times New Roman" w:hAnsi="Times New Roman" w:eastAsia="仿宋_GB2312" w:cs="Times New Roman"/>
                <w:b/>
                <w:i w:val="0"/>
                <w:color w:val="000000"/>
                <w:kern w:val="0"/>
                <w:sz w:val="32"/>
                <w:szCs w:val="32"/>
                <w:u w:val="none"/>
                <w:lang w:val="en-US" w:eastAsia="zh-CN" w:bidi="ar"/>
              </w:rPr>
              <w:t>分项最高限价（元）</w:t>
            </w:r>
          </w:p>
        </w:tc>
        <w:tc>
          <w:tcPr>
            <w:tcW w:w="27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i w:val="0"/>
                <w:color w:val="000000"/>
                <w:sz w:val="32"/>
                <w:szCs w:val="32"/>
                <w:u w:val="none"/>
              </w:rPr>
            </w:pPr>
            <w:r>
              <w:rPr>
                <w:rFonts w:hint="default" w:ascii="Times New Roman" w:hAnsi="Times New Roman" w:eastAsia="仿宋_GB2312" w:cs="Times New Roman"/>
                <w:b/>
                <w:i w:val="0"/>
                <w:color w:val="000000"/>
                <w:kern w:val="0"/>
                <w:sz w:val="32"/>
                <w:szCs w:val="3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80" w:hRule="atLeast"/>
          <w:jc w:val="center"/>
        </w:trPr>
        <w:tc>
          <w:tcPr>
            <w:tcW w:w="8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color w:val="000000"/>
                <w:sz w:val="32"/>
                <w:szCs w:val="32"/>
                <w:u w:val="none"/>
              </w:rPr>
            </w:pPr>
            <w:r>
              <w:rPr>
                <w:rFonts w:hint="default" w:ascii="Times New Roman" w:hAnsi="Times New Roman" w:eastAsia="仿宋_GB2312" w:cs="Times New Roman"/>
                <w:i w:val="0"/>
                <w:color w:val="000000"/>
                <w:kern w:val="0"/>
                <w:sz w:val="32"/>
                <w:szCs w:val="32"/>
                <w:u w:val="none"/>
                <w:lang w:val="en-US" w:eastAsia="zh-CN" w:bidi="ar"/>
              </w:rPr>
              <w:t>1</w:t>
            </w:r>
          </w:p>
        </w:tc>
        <w:tc>
          <w:tcPr>
            <w:tcW w:w="30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color w:val="000000"/>
                <w:sz w:val="32"/>
                <w:szCs w:val="32"/>
                <w:u w:val="none"/>
              </w:rPr>
            </w:pPr>
            <w:r>
              <w:rPr>
                <w:rFonts w:hint="default" w:ascii="Times New Roman" w:hAnsi="Times New Roman" w:eastAsia="仿宋_GB2312" w:cs="Times New Roman"/>
                <w:i w:val="0"/>
                <w:color w:val="000000"/>
                <w:kern w:val="0"/>
                <w:sz w:val="32"/>
                <w:szCs w:val="32"/>
                <w:u w:val="none"/>
                <w:lang w:val="en-US" w:eastAsia="zh-CN" w:bidi="ar"/>
              </w:rPr>
              <w:t>医疗责任险</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color w:val="000000"/>
                <w:sz w:val="32"/>
                <w:szCs w:val="32"/>
                <w:u w:val="none"/>
              </w:rPr>
            </w:pPr>
            <w:r>
              <w:rPr>
                <w:rFonts w:hint="default" w:ascii="Times New Roman" w:hAnsi="Times New Roman" w:eastAsia="仿宋_GB2312" w:cs="Times New Roman"/>
                <w:i w:val="0"/>
                <w:color w:val="000000"/>
                <w:kern w:val="0"/>
                <w:sz w:val="32"/>
                <w:szCs w:val="32"/>
                <w:u w:val="none"/>
                <w:lang w:val="en-US" w:eastAsia="zh-CN" w:bidi="ar"/>
              </w:rPr>
              <w:t>1 项</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color w:val="000000"/>
                <w:sz w:val="32"/>
                <w:szCs w:val="32"/>
                <w:u w:val="none"/>
              </w:rPr>
            </w:pPr>
            <w:r>
              <w:rPr>
                <w:rFonts w:hint="default" w:ascii="Times New Roman" w:hAnsi="Times New Roman" w:eastAsia="仿宋_GB2312" w:cs="Times New Roman"/>
                <w:i w:val="0"/>
                <w:color w:val="000000"/>
                <w:kern w:val="0"/>
                <w:sz w:val="32"/>
                <w:szCs w:val="32"/>
                <w:u w:val="none"/>
                <w:lang w:val="en-US" w:eastAsia="zh-CN" w:bidi="ar"/>
              </w:rPr>
              <w:t>300000</w:t>
            </w:r>
          </w:p>
        </w:tc>
        <w:tc>
          <w:tcPr>
            <w:tcW w:w="27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color w:val="000000"/>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含医疗责任险主险及全部约定、附加险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00" w:hRule="atLeast"/>
          <w:jc w:val="center"/>
        </w:trPr>
        <w:tc>
          <w:tcPr>
            <w:tcW w:w="8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color w:val="000000"/>
                <w:sz w:val="32"/>
                <w:szCs w:val="32"/>
                <w:u w:val="none"/>
              </w:rPr>
            </w:pPr>
            <w:r>
              <w:rPr>
                <w:rFonts w:hint="default" w:ascii="Times New Roman" w:hAnsi="Times New Roman" w:eastAsia="仿宋_GB2312" w:cs="Times New Roman"/>
                <w:i w:val="0"/>
                <w:color w:val="000000"/>
                <w:kern w:val="0"/>
                <w:sz w:val="32"/>
                <w:szCs w:val="32"/>
                <w:u w:val="none"/>
                <w:lang w:val="en-US" w:eastAsia="zh-CN" w:bidi="ar"/>
              </w:rPr>
              <w:t>2</w:t>
            </w:r>
          </w:p>
        </w:tc>
        <w:tc>
          <w:tcPr>
            <w:tcW w:w="30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color w:val="000000"/>
                <w:sz w:val="32"/>
                <w:szCs w:val="32"/>
                <w:u w:val="none"/>
              </w:rPr>
            </w:pPr>
            <w:r>
              <w:rPr>
                <w:rFonts w:hint="default" w:ascii="Times New Roman" w:hAnsi="Times New Roman" w:eastAsia="仿宋_GB2312" w:cs="Times New Roman"/>
                <w:i w:val="0"/>
                <w:color w:val="000000"/>
                <w:kern w:val="0"/>
                <w:sz w:val="32"/>
                <w:szCs w:val="32"/>
                <w:u w:val="none"/>
                <w:lang w:val="en-US" w:eastAsia="zh-CN" w:bidi="ar"/>
              </w:rPr>
              <w:t>安全生产责任保险</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color w:val="000000"/>
                <w:sz w:val="32"/>
                <w:szCs w:val="32"/>
                <w:u w:val="none"/>
              </w:rPr>
            </w:pPr>
            <w:r>
              <w:rPr>
                <w:rFonts w:hint="default" w:ascii="Times New Roman" w:hAnsi="Times New Roman" w:eastAsia="仿宋_GB2312" w:cs="Times New Roman"/>
                <w:i w:val="0"/>
                <w:color w:val="000000"/>
                <w:kern w:val="0"/>
                <w:sz w:val="32"/>
                <w:szCs w:val="32"/>
                <w:u w:val="none"/>
                <w:lang w:val="en-US" w:eastAsia="zh-CN" w:bidi="ar"/>
              </w:rPr>
              <w:t>1 项</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color w:val="000000"/>
                <w:sz w:val="32"/>
                <w:szCs w:val="32"/>
                <w:u w:val="none"/>
              </w:rPr>
            </w:pPr>
            <w:r>
              <w:rPr>
                <w:rFonts w:hint="default" w:ascii="Times New Roman" w:hAnsi="Times New Roman" w:eastAsia="仿宋_GB2312" w:cs="Times New Roman"/>
                <w:i w:val="0"/>
                <w:color w:val="000000"/>
                <w:kern w:val="0"/>
                <w:sz w:val="32"/>
                <w:szCs w:val="32"/>
                <w:u w:val="none"/>
                <w:lang w:val="en-US" w:eastAsia="zh-CN" w:bidi="ar"/>
              </w:rPr>
              <w:t>40000</w:t>
            </w:r>
          </w:p>
        </w:tc>
        <w:tc>
          <w:tcPr>
            <w:tcW w:w="27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color w:val="000000"/>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含主险、全套约定、附加险、事故预防服务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05" w:hRule="atLeast"/>
          <w:jc w:val="center"/>
        </w:trPr>
        <w:tc>
          <w:tcPr>
            <w:tcW w:w="490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color w:val="000000"/>
                <w:sz w:val="32"/>
                <w:szCs w:val="32"/>
                <w:u w:val="none"/>
              </w:rPr>
            </w:pPr>
            <w:r>
              <w:rPr>
                <w:rFonts w:hint="default" w:ascii="Times New Roman" w:hAnsi="Times New Roman" w:eastAsia="仿宋_GB2312" w:cs="Times New Roman"/>
                <w:b/>
                <w:bCs/>
                <w:i w:val="0"/>
                <w:color w:val="000000"/>
                <w:kern w:val="0"/>
                <w:sz w:val="32"/>
                <w:szCs w:val="32"/>
                <w:u w:val="none"/>
                <w:lang w:val="en-US" w:eastAsia="zh-CN" w:bidi="ar"/>
              </w:rPr>
              <w:t>合计</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color w:val="000000"/>
                <w:sz w:val="32"/>
                <w:szCs w:val="32"/>
                <w:u w:val="none"/>
              </w:rPr>
            </w:pPr>
            <w:r>
              <w:rPr>
                <w:rFonts w:hint="default" w:ascii="Times New Roman" w:hAnsi="Times New Roman" w:eastAsia="仿宋_GB2312" w:cs="Times New Roman"/>
                <w:b/>
                <w:bCs/>
                <w:i w:val="0"/>
                <w:color w:val="000000"/>
                <w:kern w:val="0"/>
                <w:sz w:val="32"/>
                <w:szCs w:val="32"/>
                <w:u w:val="none"/>
                <w:lang w:val="en-US" w:eastAsia="zh-CN" w:bidi="ar"/>
              </w:rPr>
              <w:t>340000</w:t>
            </w:r>
          </w:p>
        </w:tc>
        <w:tc>
          <w:tcPr>
            <w:tcW w:w="27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color w:val="000000"/>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项目整体最高限价，不得超限价投标</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黑体" w:hAnsi="黑体" w:eastAsia="黑体" w:cs="黑体"/>
          <w:sz w:val="32"/>
          <w:szCs w:val="32"/>
        </w:rPr>
      </w:pPr>
      <w:r>
        <w:rPr>
          <w:rFonts w:hint="default" w:ascii="黑体" w:hAnsi="黑体" w:eastAsia="黑体" w:cs="黑体"/>
          <w:sz w:val="32"/>
          <w:szCs w:val="32"/>
        </w:rPr>
        <w:t>二、医疗责任险服务需求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default" w:ascii="楷体" w:hAnsi="楷体" w:eastAsia="楷体" w:cs="楷体"/>
          <w:sz w:val="32"/>
          <w:szCs w:val="32"/>
        </w:rPr>
      </w:pPr>
      <w:r>
        <w:rPr>
          <w:rFonts w:hint="default" w:ascii="楷体" w:hAnsi="楷体" w:eastAsia="楷体" w:cs="楷体"/>
          <w:sz w:val="32"/>
          <w:szCs w:val="32"/>
        </w:rPr>
        <w:t>（一）医疗责任险</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1.免赔约定：0免赔。</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2.保险责任范围：</w:t>
      </w:r>
      <w:r>
        <w:rPr>
          <w:rFonts w:hint="default" w:ascii="Times New Roman" w:hAnsi="Times New Roman" w:eastAsia="仿宋_GB2312" w:cs="Times New Roman"/>
          <w:sz w:val="32"/>
          <w:szCs w:val="32"/>
        </w:rPr>
        <w:t>承保采购人全部医务人员（含进修、实习、外请医务人员）在诊疗护理活动过程中的执业过失；医疗机构场所责任；医务人员因医疗纠纷遭受人身伤害；患者住院期间各类意外事件等依法应由采购人承担的全部赔偿责任。本保险为不记名承保，承保具备执业资质医务人员，药剂科工作人员同等纳入保障范围；医务人员注册、变更注册空档期发生保险事故属于保险责任；外聘、对口帮扶派驻外请医务人员纳入外请医务人员附加险保障；依法开展互联网诊疗、执行应急医疗保障任务执业风险纳入保障范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3.赔偿限额硬性要求（不允许负偏离）：</w:t>
      </w:r>
      <w:r>
        <w:rPr>
          <w:rFonts w:hint="default" w:ascii="Times New Roman" w:hAnsi="Times New Roman" w:eastAsia="仿宋_GB2312" w:cs="Times New Roman"/>
          <w:sz w:val="32"/>
          <w:szCs w:val="32"/>
        </w:rPr>
        <w:t>（1）主险：保单累计责任限额≥100万元，每次事故赔偿限额≥50万元；每人每次事故赔偿限额≥50万元，精神损害赔偿包含于每人赔偿限额之内。（2）法律费用：累计赔偿限额≥10万元，每次事故赔偿限额≥10万元，法律费用每次事故限额在主险每次赔偿限额之外另行计算。（3）附加公平分担损失保险：累计责任限额不超过对应保费30%，每次事故限额≥5万元。（4）附加外请医务人员责任保险：每次事故限额≥50万元。（5）附加进修医务人员责任保险：每次事故限额≥50万元。（6）附加医务人员遭受伤害责任保险：每人责任限额≥50万元，其中每人医疗费用责任限额≥50万元。（7）附加医疗机构场所责任保险：每次事故每人责任限额≥50万元，每次事故责任限额≥50万元，累计赔偿限额≥100万元。（8）附加实习生责任保险、附加医疗产品责任保险，每次事故限额≥50万元，累计限额≥100万元。（9）全部附加险每次事故赔偿限额与主险保持一致，附加险年度累计赔偿限额统一包含在主险年度累计赔偿限额之内。</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4.特别约定核心条款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人员变动：医务人员人数增减变动幅度10%以内，不调整保费；变动超过10%，被保险人申报后按剩余保险期间调整增减保费。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1万元及以下（不含法律费用）医疗纠纷，被保险人可自行与患方和解；保险人有权了解案件情况，和解经保险人同意后作为理赔依据；单个保险年度院内自主和解案件累计赔付不超过保费的10%，和解次数不限。</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保险期限内出险案件结案后，同一事故患方再次提出后续治疗、护理等索赔，经司法文书确定应由被保险人承担的，保险人继续承担赔偿及对应法律费用。</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支持医调委调解协议书作为正式理赔依据；明确索赔受理、事故判定、首次索赔时间认定规则；完整约定各类案件索赔提交资料清单；诉讼案件律师费、鉴定费、尸检费、专家咨询费、差旅等合理费用纳入法律费用保障范围。</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追溯期不少于36个月（自2023</w:t>
      </w:r>
      <w:r>
        <w:rPr>
          <w:rFonts w:hint="default" w:ascii="Times New Roman" w:hAnsi="Times New Roman" w:eastAsia="仿宋_GB2312" w:cs="Times New Roman"/>
          <w:sz w:val="32"/>
          <w:szCs w:val="32"/>
        </w:rPr>
        <w:noBreakHyphen/>
      </w:r>
      <w:r>
        <w:rPr>
          <w:rFonts w:hint="default" w:ascii="Times New Roman" w:hAnsi="Times New Roman" w:eastAsia="仿宋_GB2312" w:cs="Times New Roman"/>
          <w:sz w:val="32"/>
          <w:szCs w:val="32"/>
        </w:rPr>
        <w:t>10</w:t>
      </w:r>
      <w:r>
        <w:rPr>
          <w:rFonts w:hint="default" w:ascii="Times New Roman" w:hAnsi="Times New Roman" w:eastAsia="仿宋_GB2312" w:cs="Times New Roman"/>
          <w:sz w:val="32"/>
          <w:szCs w:val="32"/>
        </w:rPr>
        <w:noBreakHyphen/>
      </w:r>
      <w:r>
        <w:rPr>
          <w:rFonts w:hint="default" w:ascii="Times New Roman" w:hAnsi="Times New Roman" w:eastAsia="仿宋_GB2312" w:cs="Times New Roman"/>
          <w:sz w:val="32"/>
          <w:szCs w:val="32"/>
        </w:rPr>
        <w:t>21零时起算），采用期内索赔制承保。</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val="en-US" w:eastAsia="zh-CN"/>
        </w:rPr>
        <w:t>5.</w:t>
      </w:r>
      <w:r>
        <w:rPr>
          <w:rFonts w:hint="default" w:ascii="Times New Roman" w:hAnsi="Times New Roman" w:eastAsia="仿宋_GB2312" w:cs="Times New Roman"/>
          <w:b/>
          <w:bCs/>
          <w:sz w:val="32"/>
          <w:szCs w:val="32"/>
        </w:rPr>
        <w:t>理赔及配套服务要求</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供应商</w:t>
      </w:r>
      <w:r>
        <w:rPr>
          <w:rFonts w:hint="default" w:ascii="Times New Roman" w:hAnsi="Times New Roman" w:eastAsia="仿宋_GB2312" w:cs="Times New Roman"/>
          <w:sz w:val="32"/>
          <w:szCs w:val="32"/>
        </w:rPr>
        <w:t>须提供清晰完整医疗责任险理赔处理流程图，作为响应文件组成部分。</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成交供应商须组建本项目专项工作小组，配备稳定专业服务团队，保障人员、办公资源投入；至少指派2名专职服务人员对接医院，负责突发事件协同处置、理赔资料收集报送、理赔全流程跟进，定期向采购人报送医疗责任保险业务动态。采购人对专职人员业务能力不满意，有权无条件要求更换人员，直至满足业务要求。</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简易定责服务：责任不明确案件，保险人应当征询医调委、行政管理部门、鉴定机构意见，结合法律法规出具定责意见。</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立案时效：收到完整索赔材料后，3个工作日内反馈是否立案、需要补正材料；拒赔/不予立案必须出具正式书面意见。</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赔款通知书出具时效（材料齐全前提下）： 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2" w:firstLineChars="200"/>
        <w:textAlignment w:val="auto"/>
        <w:rPr>
          <w:rFonts w:hint="default" w:ascii="Times New Roman" w:hAnsi="Times New Roman" w:eastAsia="仿宋_GB2312" w:cs="Times New Roman"/>
          <w:sz w:val="32"/>
          <w:szCs w:val="32"/>
        </w:rPr>
      </w:pPr>
      <w:r>
        <w:rPr>
          <w:rFonts w:ascii="宋体" w:hAnsi="宋体" w:eastAsia="宋体" w:cs="宋体"/>
          <w:b/>
          <w:bCs/>
          <w:sz w:val="24"/>
          <w:szCs w:val="24"/>
        </w:rPr>
        <w:t>·</w:t>
      </w:r>
      <w:r>
        <w:rPr>
          <w:rFonts w:hint="default" w:ascii="Times New Roman" w:hAnsi="Times New Roman" w:eastAsia="仿宋_GB2312" w:cs="Times New Roman"/>
          <w:sz w:val="32"/>
          <w:szCs w:val="32"/>
        </w:rPr>
        <w:t>小案（赔付3000元不含以下）：5个工作日内； 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2" w:firstLineChars="200"/>
        <w:textAlignment w:val="auto"/>
        <w:rPr>
          <w:rFonts w:hint="default" w:ascii="Times New Roman" w:hAnsi="Times New Roman" w:eastAsia="仿宋_GB2312" w:cs="Times New Roman"/>
          <w:sz w:val="32"/>
          <w:szCs w:val="32"/>
        </w:rPr>
      </w:pPr>
      <w:r>
        <w:rPr>
          <w:rFonts w:ascii="宋体" w:hAnsi="宋体" w:eastAsia="宋体" w:cs="宋体"/>
          <w:b/>
          <w:bCs/>
          <w:sz w:val="24"/>
          <w:szCs w:val="24"/>
        </w:rPr>
        <w:t>·</w:t>
      </w:r>
      <w:r>
        <w:rPr>
          <w:rFonts w:hint="default" w:ascii="Times New Roman" w:hAnsi="Times New Roman" w:eastAsia="仿宋_GB2312" w:cs="Times New Roman"/>
          <w:sz w:val="32"/>
          <w:szCs w:val="32"/>
        </w:rPr>
        <w:t>中案（3000元含～2万元不含）：7个工作日内； 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2" w:firstLineChars="200"/>
        <w:textAlignment w:val="auto"/>
        <w:rPr>
          <w:rFonts w:hint="default" w:ascii="Times New Roman" w:hAnsi="Times New Roman" w:eastAsia="仿宋_GB2312" w:cs="Times New Roman"/>
          <w:sz w:val="32"/>
          <w:szCs w:val="32"/>
        </w:rPr>
      </w:pPr>
      <w:r>
        <w:rPr>
          <w:rFonts w:ascii="宋体" w:hAnsi="宋体" w:eastAsia="宋体" w:cs="宋体"/>
          <w:b/>
          <w:bCs/>
          <w:sz w:val="24"/>
          <w:szCs w:val="24"/>
        </w:rPr>
        <w:t>·</w:t>
      </w:r>
      <w:r>
        <w:rPr>
          <w:rFonts w:hint="default" w:ascii="Times New Roman" w:hAnsi="Times New Roman" w:eastAsia="仿宋_GB2312" w:cs="Times New Roman"/>
          <w:sz w:val="32"/>
          <w:szCs w:val="32"/>
        </w:rPr>
        <w:t>大案（2万元含～10万元不含）：10个工作日内； 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2" w:firstLineChars="200"/>
        <w:textAlignment w:val="auto"/>
        <w:rPr>
          <w:rFonts w:hint="default" w:ascii="Times New Roman" w:hAnsi="Times New Roman" w:eastAsia="仿宋_GB2312" w:cs="Times New Roman"/>
          <w:sz w:val="32"/>
          <w:szCs w:val="32"/>
        </w:rPr>
      </w:pPr>
      <w:r>
        <w:rPr>
          <w:rFonts w:ascii="宋体" w:hAnsi="宋体" w:eastAsia="宋体" w:cs="宋体"/>
          <w:b/>
          <w:bCs/>
          <w:sz w:val="24"/>
          <w:szCs w:val="24"/>
        </w:rPr>
        <w:t>·</w:t>
      </w:r>
      <w:r>
        <w:rPr>
          <w:rFonts w:hint="default" w:ascii="Times New Roman" w:hAnsi="Times New Roman" w:eastAsia="仿宋_GB2312" w:cs="Times New Roman"/>
          <w:sz w:val="32"/>
          <w:szCs w:val="32"/>
        </w:rPr>
        <w:t>重大案件（10万元含以上）：15个工作日内。</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（6）可依据生效判决书、调解书、医调委调解协议、双方合法和解协议直接向患方支付赔款，赔款可扣减患方拖欠医院欠费后支付。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黑体" w:hAnsi="黑体" w:eastAsia="黑体" w:cs="黑体"/>
          <w:sz w:val="32"/>
          <w:szCs w:val="32"/>
        </w:rPr>
      </w:pPr>
      <w:r>
        <w:rPr>
          <w:rFonts w:hint="default" w:ascii="黑体" w:hAnsi="黑体" w:eastAsia="黑体" w:cs="黑体"/>
          <w:sz w:val="32"/>
          <w:szCs w:val="32"/>
        </w:rPr>
        <w:t>三、安全生产责任保险服务需求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说明：投保人、被保险人为广州市天河区中医医院，保障全部列明经营场所，覆盖采购人全部在册从业人员449人。</w:t>
      </w:r>
      <w:r>
        <w:rPr>
          <w:rFonts w:hint="eastAsia" w:ascii="Times New Roman" w:hAnsi="Times New Roman" w:eastAsia="仿宋_GB2312" w:cs="Times New Roman"/>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依据《安全生产责任保险实施办法》要求投保。</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rPr>
        <w:t>保险责任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保险期间内，被保险人在保险单载明的场所内从事生产、经营等活动过程中，因发生生产安全事故，导致从业人员人身伤亡，依照中华人民共和国法律(不包括港、澳、台地区)应由被保险人承担的经济赔偿责任，保险人按照本保险合同的约定负责赔偿。（1）安全生产责任保险附加第三者财产责任保险条款在保险期间内，发生主险责任范围内的安全生产事故，导致第三者财产损失，依照中华人民共和国法律应由被保险人承担的经济赔偿责任，保险人按照本附加险合同约定负责赔偿。（2）安全生产责任保险附加医疗费用责任保险条款发生保险责任范围内的安全生产事故，导致被保险人的工作人员或第三者人身伤亡，依照中华人民共和国法律(不包括港、澳、台地区)应由被保险人承担的医疗费用，保险人按照本附加险合同约定负责赔偿。（3）安全生产责任保险附加补充雇主责任保险条款被保险人的从业人员遭受主险生产安全事故以外的下列其它意外事故造成人身伤亡，依照中华人民共和国法律(不包括港、澳、台地区)应由被保险人承担的经济赔偿责任，保险人按照本附加险合同约定负责赔偿:</w:t>
      </w:r>
      <w:r>
        <w:rPr>
          <w:rFonts w:hint="default" w:ascii="Calibri" w:hAnsi="Calibri" w:eastAsia="仿宋_GB2312" w:cs="Calibri"/>
          <w:sz w:val="32"/>
          <w:szCs w:val="32"/>
        </w:rPr>
        <w:t>①</w:t>
      </w:r>
      <w:r>
        <w:rPr>
          <w:rFonts w:hint="default" w:ascii="Times New Roman" w:hAnsi="Times New Roman" w:eastAsia="仿宋_GB2312" w:cs="Times New Roman"/>
          <w:sz w:val="32"/>
          <w:szCs w:val="32"/>
        </w:rPr>
        <w:t>在工作时间和工作场所内，因履行工作职责受到暴力伤害；</w:t>
      </w:r>
      <w:r>
        <w:rPr>
          <w:rFonts w:hint="default" w:ascii="Calibri" w:hAnsi="Calibri" w:eastAsia="仿宋_GB2312" w:cs="Calibri"/>
          <w:sz w:val="32"/>
          <w:szCs w:val="32"/>
        </w:rPr>
        <w:t>②</w:t>
      </w:r>
      <w:r>
        <w:rPr>
          <w:rFonts w:hint="default" w:ascii="Times New Roman" w:hAnsi="Times New Roman" w:eastAsia="仿宋_GB2312" w:cs="Times New Roman"/>
          <w:sz w:val="32"/>
          <w:szCs w:val="32"/>
        </w:rPr>
        <w:t>因工外出期间，由于工作原因受到伤害或者发生事故下落不明的；</w:t>
      </w:r>
      <w:r>
        <w:rPr>
          <w:rFonts w:hint="default" w:ascii="Calibri" w:hAnsi="Calibri" w:eastAsia="仿宋_GB2312" w:cs="Calibri"/>
          <w:sz w:val="32"/>
          <w:szCs w:val="32"/>
        </w:rPr>
        <w:t>③</w:t>
      </w:r>
      <w:r>
        <w:rPr>
          <w:rFonts w:hint="default" w:ascii="Times New Roman" w:hAnsi="Times New Roman" w:eastAsia="仿宋_GB2312" w:cs="Times New Roman"/>
          <w:sz w:val="32"/>
          <w:szCs w:val="32"/>
        </w:rPr>
        <w:t>在上下班途中，受到非本人主要责任的交通事故或者城市轨道交通、客运轮渡、火车事故伤害的；</w:t>
      </w:r>
      <w:r>
        <w:rPr>
          <w:rFonts w:hint="default" w:ascii="Calibri" w:hAnsi="Calibri" w:eastAsia="仿宋_GB2312" w:cs="Calibri"/>
          <w:sz w:val="32"/>
          <w:szCs w:val="32"/>
        </w:rPr>
        <w:t>④</w:t>
      </w:r>
      <w:r>
        <w:rPr>
          <w:rFonts w:hint="default" w:ascii="Times New Roman" w:hAnsi="Times New Roman" w:eastAsia="仿宋_GB2312" w:cs="Times New Roman"/>
          <w:sz w:val="32"/>
          <w:szCs w:val="32"/>
        </w:rPr>
        <w:t>在工作时间和工作岗位，突发疾病死亡或者在48小时之内经抢救无效死亡；</w:t>
      </w:r>
      <w:r>
        <w:rPr>
          <w:rFonts w:hint="default" w:ascii="Calibri" w:hAnsi="Calibri" w:eastAsia="仿宋_GB2312" w:cs="Calibri"/>
          <w:sz w:val="32"/>
          <w:szCs w:val="32"/>
        </w:rPr>
        <w:t>⑤</w:t>
      </w:r>
      <w:r>
        <w:rPr>
          <w:rFonts w:hint="default" w:ascii="Times New Roman" w:hAnsi="Times New Roman" w:eastAsia="仿宋_GB2312" w:cs="Times New Roman"/>
          <w:sz w:val="32"/>
          <w:szCs w:val="32"/>
        </w:rPr>
        <w:t>在抢险救灾等维护国家利益、公共利益活动中受到伤害的。</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rPr>
        <w:t>.赔偿限额要求</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安责险硬性限额（不可负偏离）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ascii="宋体" w:hAnsi="宋体" w:eastAsia="宋体" w:cs="宋体"/>
          <w:b/>
          <w:bCs/>
          <w:sz w:val="24"/>
          <w:szCs w:val="24"/>
        </w:rPr>
        <w:t>·</w:t>
      </w:r>
      <w:r>
        <w:rPr>
          <w:rFonts w:hint="default" w:ascii="Times New Roman" w:hAnsi="Times New Roman" w:eastAsia="仿宋_GB2312" w:cs="Times New Roman"/>
          <w:sz w:val="32"/>
          <w:szCs w:val="32"/>
        </w:rPr>
        <w:t>保单累计赔偿限额≥930万元，每次事故赔偿限额≥930万元；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ascii="宋体" w:hAnsi="宋体" w:eastAsia="宋体" w:cs="宋体"/>
          <w:b/>
          <w:bCs/>
          <w:sz w:val="24"/>
          <w:szCs w:val="24"/>
        </w:rPr>
        <w:t>·</w:t>
      </w:r>
      <w:r>
        <w:rPr>
          <w:rFonts w:hint="default" w:ascii="Times New Roman" w:hAnsi="Times New Roman" w:eastAsia="仿宋_GB2312" w:cs="Times New Roman"/>
          <w:sz w:val="32"/>
          <w:szCs w:val="32"/>
        </w:rPr>
        <w:t>从业人员/第三者死亡：每人死亡赔偿限额≥140万元；每次/累计死亡责任限额≥450万元；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ascii="宋体" w:hAnsi="宋体" w:eastAsia="宋体" w:cs="宋体"/>
          <w:b/>
          <w:bCs/>
          <w:sz w:val="24"/>
          <w:szCs w:val="24"/>
        </w:rPr>
        <w:t>·</w:t>
      </w:r>
      <w:r>
        <w:rPr>
          <w:rFonts w:hint="default" w:ascii="Times New Roman" w:hAnsi="Times New Roman" w:eastAsia="仿宋_GB2312" w:cs="Times New Roman"/>
          <w:sz w:val="32"/>
          <w:szCs w:val="32"/>
        </w:rPr>
        <w:t>从业人员/第三者法律、诉讼费用：每次、累计≥150万元；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ascii="宋体" w:hAnsi="宋体" w:eastAsia="宋体" w:cs="宋体"/>
          <w:b/>
          <w:bCs/>
          <w:sz w:val="24"/>
          <w:szCs w:val="24"/>
        </w:rPr>
        <w:t>·</w:t>
      </w:r>
      <w:r>
        <w:rPr>
          <w:rFonts w:hint="default" w:ascii="Times New Roman" w:hAnsi="Times New Roman" w:eastAsia="仿宋_GB2312" w:cs="Times New Roman"/>
          <w:sz w:val="32"/>
          <w:szCs w:val="32"/>
        </w:rPr>
        <w:t>从业人员/第三者伤残：每次、累计≥150万元；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ascii="宋体" w:hAnsi="宋体" w:eastAsia="宋体" w:cs="宋体"/>
          <w:b/>
          <w:bCs/>
          <w:sz w:val="24"/>
          <w:szCs w:val="24"/>
        </w:rPr>
        <w:t>·</w:t>
      </w:r>
      <w:r>
        <w:rPr>
          <w:rFonts w:hint="default" w:ascii="Times New Roman" w:hAnsi="Times New Roman" w:eastAsia="仿宋_GB2312" w:cs="Times New Roman"/>
          <w:sz w:val="32"/>
          <w:szCs w:val="32"/>
        </w:rPr>
        <w:t>从业人员/第三者医疗费用：每次、累计≥60万元，免赔0元；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ascii="宋体" w:hAnsi="宋体" w:eastAsia="宋体" w:cs="宋体"/>
          <w:b/>
          <w:bCs/>
          <w:sz w:val="24"/>
          <w:szCs w:val="24"/>
        </w:rPr>
        <w:t>·</w:t>
      </w:r>
      <w:r>
        <w:rPr>
          <w:rFonts w:hint="default" w:ascii="Times New Roman" w:hAnsi="Times New Roman" w:eastAsia="仿宋_GB2312" w:cs="Times New Roman"/>
          <w:sz w:val="32"/>
          <w:szCs w:val="32"/>
        </w:rPr>
        <w:t>第三者财产损失：每次、累计≥60万元，免赔0元；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ascii="宋体" w:hAnsi="宋体" w:eastAsia="宋体" w:cs="宋体"/>
          <w:b/>
          <w:bCs/>
          <w:sz w:val="24"/>
          <w:szCs w:val="24"/>
        </w:rPr>
        <w:t>·</w:t>
      </w:r>
      <w:r>
        <w:rPr>
          <w:rFonts w:hint="default" w:ascii="Times New Roman" w:hAnsi="Times New Roman" w:eastAsia="仿宋_GB2312" w:cs="Times New Roman"/>
          <w:sz w:val="32"/>
          <w:szCs w:val="32"/>
        </w:rPr>
        <w:t>从业人员猝死：每人限额≥60万元；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ascii="宋体" w:hAnsi="宋体" w:eastAsia="宋体" w:cs="宋体"/>
          <w:b/>
          <w:bCs/>
          <w:sz w:val="24"/>
          <w:szCs w:val="24"/>
        </w:rPr>
        <w:t>·</w:t>
      </w:r>
      <w:r>
        <w:rPr>
          <w:rFonts w:hint="default" w:ascii="Times New Roman" w:hAnsi="Times New Roman" w:eastAsia="仿宋_GB2312" w:cs="Times New Roman"/>
          <w:sz w:val="32"/>
          <w:szCs w:val="32"/>
        </w:rPr>
        <w:t>自动扩展保障：医疗救护费用每人5万元；鉴定费用每次事故2000元；抢险救援费用每次、累计≥50万元，免赔均为0元。</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sz w:val="32"/>
          <w:szCs w:val="32"/>
        </w:rPr>
        <w:t>核心特别约定</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生产安全事故定义：生产经营活动中突发意外事件，不含自身疾病、猝死类损害；（2）无应急管理部门事故证明，凭被保险人提供、保险人认可的事故报告，即可进行理赔；（3）事故鉴定、勘验、评估等必要合理费用属于保险赔付范围；（4）如同时存在工伤保险等其他保险，发生死亡按保单每人死亡限额赔付；残疾按保单伤残赔偿比例×每人死亡限额赔付，最高不超过实际损失；（5）保费一次性全额在出单前缴清；按实际员工人数计费，申报人数少于实际人数出险按比例赔付。</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4</w:t>
      </w:r>
      <w:r>
        <w:rPr>
          <w:rFonts w:hint="default" w:ascii="Times New Roman" w:hAnsi="Times New Roman" w:eastAsia="仿宋_GB2312" w:cs="Times New Roman"/>
          <w:b/>
          <w:bCs/>
          <w:sz w:val="32"/>
          <w:szCs w:val="32"/>
        </w:rPr>
        <w:t>.事故预防强制服务（不可删减）保险有效期内，保险人每年至少提供1次及以上事故预防服务，服务项目包含但不限于：</w:t>
      </w:r>
      <w:r>
        <w:rPr>
          <w:rFonts w:hint="default" w:ascii="Times New Roman" w:hAnsi="Times New Roman" w:eastAsia="仿宋_GB2312" w:cs="Times New Roman"/>
          <w:sz w:val="32"/>
          <w:szCs w:val="32"/>
        </w:rPr>
        <w:t>安全生产宣传教育培训、安全风险辨识评估、隐患排查、安全生产标准化建设、应急预案编制与演练、安全科技推广，具体项目双方协商确定并落地实施，采购人有权要求调整服务内容，成交供应商不得额外收取任何费用。</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5</w:t>
      </w:r>
      <w:r>
        <w:rPr>
          <w:rFonts w:hint="default" w:ascii="Times New Roman" w:hAnsi="Times New Roman" w:eastAsia="仿宋_GB2312" w:cs="Times New Roman"/>
          <w:b/>
          <w:bCs/>
          <w:sz w:val="32"/>
          <w:szCs w:val="32"/>
        </w:rPr>
        <w:t>.理赔服务：</w:t>
      </w:r>
      <w:r>
        <w:rPr>
          <w:rFonts w:hint="default" w:ascii="Times New Roman" w:hAnsi="Times New Roman" w:eastAsia="仿宋_GB2312" w:cs="Times New Roman"/>
          <w:sz w:val="32"/>
          <w:szCs w:val="32"/>
        </w:rPr>
        <w:t>设立安责险专项对接人；事故发生后及时介入，按条款时限完成资料审核、赔款处理；保单支持依据生效法律文书、调解协议直接向第三者受害人支付赔款。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0"/>
        <w:rPr>
          <w:rFonts w:hint="default" w:ascii="黑体" w:hAnsi="黑体" w:eastAsia="黑体" w:cs="黑体"/>
          <w:sz w:val="32"/>
          <w:szCs w:val="32"/>
        </w:rPr>
      </w:pPr>
      <w:r>
        <w:rPr>
          <w:rFonts w:hint="default" w:ascii="黑体" w:hAnsi="黑体" w:eastAsia="黑体" w:cs="黑体"/>
          <w:sz w:val="32"/>
          <w:szCs w:val="32"/>
        </w:rPr>
        <w:t>四、报价要求</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1.本项目采取总价包干报价方式，</w:t>
      </w:r>
      <w:r>
        <w:rPr>
          <w:rFonts w:hint="eastAsia" w:ascii="Times New Roman" w:hAnsi="Times New Roman" w:eastAsia="仿宋_GB2312" w:cs="Times New Roman"/>
          <w:sz w:val="32"/>
          <w:szCs w:val="32"/>
          <w:lang w:val="en-US" w:eastAsia="zh-CN"/>
        </w:rPr>
        <w:t>供应商</w:t>
      </w:r>
      <w:r>
        <w:rPr>
          <w:rFonts w:hint="default" w:ascii="Times New Roman" w:hAnsi="Times New Roman" w:eastAsia="仿宋_GB2312" w:cs="Times New Roman"/>
          <w:sz w:val="32"/>
          <w:szCs w:val="32"/>
        </w:rPr>
        <w:t>须结合全部保险保障要求、风险、服务成本一次性报项目总价格，同时分别填报医疗责任险、整合版应急安全生产责任保险分项价格。</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2.投标报价包含保险费、理赔服务、人员服务、事故预防服务、市内交通、差旅、税费、全部增值服务等完成本项目全部工作的一切费用，采购人不再支付其他任何费用。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3.报价有效期：自报价文件递交之日起90日历天；如成交，有效期自动延续至合同终止。</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0"/>
        <w:rPr>
          <w:rFonts w:hint="default" w:ascii="黑体" w:hAnsi="黑体" w:eastAsia="黑体" w:cs="黑体"/>
          <w:sz w:val="32"/>
          <w:szCs w:val="32"/>
        </w:rPr>
      </w:pPr>
      <w:r>
        <w:rPr>
          <w:rFonts w:hint="default" w:ascii="黑体" w:hAnsi="黑体" w:eastAsia="黑体" w:cs="黑体"/>
          <w:sz w:val="32"/>
          <w:szCs w:val="32"/>
        </w:rPr>
        <w:t>五、付款方式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trike/>
          <w:dstrike w:val="0"/>
          <w:color w:val="FF0000"/>
          <w:sz w:val="32"/>
          <w:szCs w:val="32"/>
        </w:rPr>
      </w:pPr>
      <w:r>
        <w:rPr>
          <w:rFonts w:hint="default" w:ascii="Times New Roman" w:hAnsi="Times New Roman" w:eastAsia="仿宋_GB2312" w:cs="Times New Roman"/>
          <w:sz w:val="32"/>
          <w:szCs w:val="32"/>
        </w:rPr>
        <w:t>采购人在保险合同生效后</w:t>
      </w:r>
      <w:r>
        <w:rPr>
          <w:rFonts w:hint="eastAsia"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个工作日内向成交供应商支付合同总价100%款项。</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本项目支付期数为1期，支付比例100%。</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2.成交供应商收到</w:t>
      </w:r>
      <w:r>
        <w:rPr>
          <w:rFonts w:hint="eastAsia" w:ascii="Times New Roman" w:hAnsi="Times New Roman" w:eastAsia="仿宋_GB2312" w:cs="Times New Roman"/>
          <w:sz w:val="32"/>
          <w:szCs w:val="32"/>
          <w:lang w:val="en-US" w:eastAsia="zh-CN"/>
        </w:rPr>
        <w:t>成交</w:t>
      </w:r>
      <w:r>
        <w:rPr>
          <w:rFonts w:hint="default" w:ascii="Times New Roman" w:hAnsi="Times New Roman" w:eastAsia="仿宋_GB2312" w:cs="Times New Roman"/>
          <w:sz w:val="32"/>
          <w:szCs w:val="32"/>
        </w:rPr>
        <w:t>通知书后，提供保险合同（含/或投保单）供</w:t>
      </w:r>
      <w:r>
        <w:rPr>
          <w:rFonts w:hint="eastAsia" w:ascii="Times New Roman" w:hAnsi="Times New Roman" w:eastAsia="仿宋_GB2312" w:cs="Times New Roman"/>
          <w:sz w:val="32"/>
          <w:szCs w:val="32"/>
          <w:lang w:val="en-US" w:eastAsia="zh-CN"/>
        </w:rPr>
        <w:t>采购人</w:t>
      </w:r>
      <w:r>
        <w:rPr>
          <w:rFonts w:hint="default" w:ascii="Times New Roman" w:hAnsi="Times New Roman" w:eastAsia="仿宋_GB2312" w:cs="Times New Roman"/>
          <w:sz w:val="32"/>
          <w:szCs w:val="32"/>
        </w:rPr>
        <w:t>审核。</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eastAsia" w:ascii="Times New Roman" w:hAnsi="Times New Roman" w:eastAsia="仿宋_GB2312" w:cs="Times New Roman"/>
          <w:sz w:val="32"/>
          <w:szCs w:val="32"/>
          <w:lang w:val="en-US" w:eastAsia="zh-CN"/>
        </w:rPr>
        <w:t>采购人</w:t>
      </w:r>
      <w:r>
        <w:rPr>
          <w:rFonts w:hint="default" w:ascii="Times New Roman" w:hAnsi="Times New Roman" w:eastAsia="仿宋_GB2312" w:cs="Times New Roman"/>
          <w:sz w:val="32"/>
          <w:szCs w:val="32"/>
        </w:rPr>
        <w:t>完成保险合同（含/或投保单）审核后办理支付合同总价的手续。以银行转账方式，由</w:t>
      </w:r>
      <w:r>
        <w:rPr>
          <w:rFonts w:hint="eastAsia" w:ascii="Times New Roman" w:hAnsi="Times New Roman" w:eastAsia="仿宋_GB2312" w:cs="Times New Roman"/>
          <w:sz w:val="32"/>
          <w:szCs w:val="32"/>
          <w:lang w:val="en-US" w:eastAsia="zh-CN"/>
        </w:rPr>
        <w:t>采购人</w:t>
      </w:r>
      <w:r>
        <w:rPr>
          <w:rFonts w:hint="default" w:ascii="Times New Roman" w:hAnsi="Times New Roman" w:eastAsia="仿宋_GB2312" w:cs="Times New Roman"/>
          <w:sz w:val="32"/>
          <w:szCs w:val="32"/>
        </w:rPr>
        <w:t>向成交供应商一次性支付合同全款。</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4.成交供应商提供指定专用账户。</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5.成交供应商收到保险费后的5个工作日内，成交供应商应向</w:t>
      </w:r>
      <w:r>
        <w:rPr>
          <w:rFonts w:hint="eastAsia" w:ascii="Times New Roman" w:hAnsi="Times New Roman" w:eastAsia="仿宋_GB2312" w:cs="Times New Roman"/>
          <w:sz w:val="32"/>
          <w:szCs w:val="32"/>
          <w:lang w:val="en-US" w:eastAsia="zh-CN"/>
        </w:rPr>
        <w:t>采购人</w:t>
      </w:r>
      <w:r>
        <w:rPr>
          <w:rFonts w:hint="default" w:ascii="Times New Roman" w:hAnsi="Times New Roman" w:eastAsia="仿宋_GB2312" w:cs="Times New Roman"/>
          <w:sz w:val="32"/>
          <w:szCs w:val="32"/>
        </w:rPr>
        <w:t>开具合同全额有效的增值税发票，并承担由此产生的增值税费，否则</w:t>
      </w:r>
      <w:r>
        <w:rPr>
          <w:rFonts w:hint="eastAsia" w:ascii="Times New Roman" w:hAnsi="Times New Roman" w:eastAsia="仿宋_GB2312" w:cs="Times New Roman"/>
          <w:sz w:val="32"/>
          <w:szCs w:val="32"/>
          <w:lang w:val="en-US" w:eastAsia="zh-CN"/>
        </w:rPr>
        <w:t>采购人</w:t>
      </w:r>
      <w:r>
        <w:rPr>
          <w:rFonts w:hint="default" w:ascii="Times New Roman" w:hAnsi="Times New Roman" w:eastAsia="仿宋_GB2312" w:cs="Times New Roman"/>
          <w:sz w:val="32"/>
          <w:szCs w:val="32"/>
        </w:rPr>
        <w:t>有权拒绝付款，且不承担违约责任。</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6.不得委托第三方开具发票办理结算事宜，否则</w:t>
      </w:r>
      <w:r>
        <w:rPr>
          <w:rFonts w:hint="eastAsia" w:ascii="Times New Roman" w:hAnsi="Times New Roman" w:eastAsia="仿宋_GB2312" w:cs="Times New Roman"/>
          <w:sz w:val="32"/>
          <w:szCs w:val="32"/>
          <w:lang w:val="en-US" w:eastAsia="zh-CN"/>
        </w:rPr>
        <w:t>采购人</w:t>
      </w:r>
      <w:r>
        <w:rPr>
          <w:rFonts w:hint="default" w:ascii="Times New Roman" w:hAnsi="Times New Roman" w:eastAsia="仿宋_GB2312" w:cs="Times New Roman"/>
          <w:sz w:val="32"/>
          <w:szCs w:val="32"/>
        </w:rPr>
        <w:t>可拒付。</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w:t>
      </w:r>
      <w:r>
        <w:rPr>
          <w:rFonts w:hint="eastAsia" w:ascii="Times New Roman" w:hAnsi="Times New Roman" w:eastAsia="仿宋_GB2312" w:cs="Times New Roman"/>
          <w:sz w:val="32"/>
          <w:szCs w:val="32"/>
          <w:lang w:val="en-US" w:eastAsia="zh-CN"/>
        </w:rPr>
        <w:t>采购人</w:t>
      </w:r>
      <w:r>
        <w:rPr>
          <w:rFonts w:hint="default" w:ascii="Times New Roman" w:hAnsi="Times New Roman" w:eastAsia="仿宋_GB2312" w:cs="Times New Roman"/>
          <w:sz w:val="32"/>
          <w:szCs w:val="32"/>
        </w:rPr>
        <w:t>向上述成交供应商指定账户汇出款项即为已经向成交供应商履行合同约定的付款义务，如因成交供应商账户被查封、冻结、注销等非</w:t>
      </w:r>
      <w:r>
        <w:rPr>
          <w:rFonts w:hint="eastAsia" w:ascii="Times New Roman" w:hAnsi="Times New Roman" w:eastAsia="仿宋_GB2312" w:cs="Times New Roman"/>
          <w:sz w:val="32"/>
          <w:szCs w:val="32"/>
          <w:lang w:val="en-US" w:eastAsia="zh-CN"/>
        </w:rPr>
        <w:t>采购人</w:t>
      </w:r>
      <w:r>
        <w:rPr>
          <w:rFonts w:hint="default" w:ascii="Times New Roman" w:hAnsi="Times New Roman" w:eastAsia="仿宋_GB2312" w:cs="Times New Roman"/>
          <w:sz w:val="32"/>
          <w:szCs w:val="32"/>
        </w:rPr>
        <w:t>原因导致成交供应商未能收到款项的，责任由成交供应商自行承担，且不影响本合同项下的保险项目的履行。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0"/>
        <w:rPr>
          <w:rFonts w:hint="default" w:ascii="黑体" w:hAnsi="黑体" w:eastAsia="黑体" w:cs="黑体"/>
          <w:color w:val="auto"/>
          <w:sz w:val="32"/>
          <w:szCs w:val="32"/>
        </w:rPr>
      </w:pPr>
      <w:r>
        <w:rPr>
          <w:rFonts w:hint="default" w:ascii="黑体" w:hAnsi="黑体" w:eastAsia="黑体" w:cs="黑体"/>
          <w:sz w:val="32"/>
          <w:szCs w:val="32"/>
        </w:rPr>
        <w:t>六、其他</w:t>
      </w:r>
      <w:r>
        <w:rPr>
          <w:rFonts w:hint="default" w:ascii="黑体" w:hAnsi="黑体" w:eastAsia="黑体" w:cs="黑体"/>
          <w:color w:val="auto"/>
          <w:sz w:val="32"/>
          <w:szCs w:val="32"/>
        </w:rPr>
        <w:t>商务要求</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Times New Roman"/>
          <w:strike w:val="0"/>
          <w:dstrike w:val="0"/>
          <w:color w:val="auto"/>
          <w:sz w:val="32"/>
          <w:szCs w:val="32"/>
          <w:lang w:eastAsia="zh-CN"/>
        </w:rPr>
      </w:pPr>
      <w:r>
        <w:rPr>
          <w:rFonts w:hint="default" w:ascii="Times New Roman" w:hAnsi="Times New Roman" w:eastAsia="仿宋_GB2312" w:cs="Times New Roman"/>
          <w:color w:val="auto"/>
          <w:sz w:val="32"/>
          <w:szCs w:val="32"/>
        </w:rPr>
        <w:t>1.成交供应商</w:t>
      </w:r>
      <w:r>
        <w:rPr>
          <w:rFonts w:hint="eastAsia" w:ascii="Times New Roman" w:hAnsi="Times New Roman" w:eastAsia="仿宋_GB2312" w:cs="Times New Roman"/>
          <w:strike w:val="0"/>
          <w:dstrike w:val="0"/>
          <w:color w:val="auto"/>
          <w:sz w:val="32"/>
          <w:szCs w:val="32"/>
          <w:lang w:val="en-US" w:eastAsia="zh-CN"/>
        </w:rPr>
        <w:t>在收到投保资料、保险费</w:t>
      </w:r>
      <w:r>
        <w:rPr>
          <w:rFonts w:hint="default" w:ascii="Times New Roman" w:hAnsi="Times New Roman" w:eastAsia="仿宋_GB2312" w:cs="Times New Roman"/>
          <w:color w:val="auto"/>
          <w:sz w:val="32"/>
          <w:szCs w:val="32"/>
        </w:rPr>
        <w:t>后，须在规定时限内出具完整正式保险单、全套条款文本及全部特别约定，所有特别约定作为保险合同不可分割部分</w:t>
      </w:r>
      <w:r>
        <w:rPr>
          <w:rFonts w:hint="eastAsia" w:ascii="Times New Roman" w:hAnsi="Times New Roman" w:eastAsia="仿宋_GB2312" w:cs="Times New Roman"/>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2.保险期内，成交供应商须建立月度、重大案件即时沟通机制，定期报送出险、理赔数据，配合采购人开展医疗风险、安全生产风险分析工作。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3.发生保险事故，成交供应商须全程提供专业技术支持，协助医院处置纠纷、事故，做好与医调委、司法、应急管理部门对接工作。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4.本项目所有保险项下，保险赔款可按约定直接支付给第三方受害人。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0"/>
        <w:rPr>
          <w:rFonts w:hint="default" w:ascii="黑体" w:hAnsi="黑体" w:eastAsia="黑体" w:cs="黑体"/>
          <w:sz w:val="32"/>
          <w:szCs w:val="32"/>
        </w:rPr>
      </w:pPr>
      <w:r>
        <w:rPr>
          <w:rFonts w:hint="default" w:ascii="黑体" w:hAnsi="黑体" w:eastAsia="黑体" w:cs="黑体"/>
          <w:sz w:val="32"/>
          <w:szCs w:val="32"/>
        </w:rPr>
        <w:t>七、配套报价表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广州市天河区中医医院</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2026年9月2日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Times New Roman" w:hAnsi="Times New Roman" w:eastAsia="仿宋_GB2312" w:cs="Times New Roman"/>
          <w:sz w:val="32"/>
          <w:szCs w:val="32"/>
        </w:rPr>
      </w:pPr>
    </w:p>
    <w:sectPr>
      <w:headerReference r:id="rId3" w:type="default"/>
      <w:footerReference r:id="rId4" w:type="default"/>
      <w:pgSz w:w="11906" w:h="16838"/>
      <w:pgMar w:top="1440" w:right="1587"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1FEA24"/>
    <w:multiLevelType w:val="singleLevel"/>
    <w:tmpl w:val="651FEA2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7A0149"/>
    <w:rsid w:val="0FEE19ED"/>
    <w:rsid w:val="10DA5100"/>
    <w:rsid w:val="13F61EE9"/>
    <w:rsid w:val="24804DE3"/>
    <w:rsid w:val="32E42D08"/>
    <w:rsid w:val="35D6000C"/>
    <w:rsid w:val="3D8416FC"/>
    <w:rsid w:val="4421664E"/>
    <w:rsid w:val="46995C80"/>
    <w:rsid w:val="50F31B76"/>
    <w:rsid w:val="5F437C4D"/>
    <w:rsid w:val="627A0149"/>
    <w:rsid w:val="6612552B"/>
    <w:rsid w:val="679F4410"/>
    <w:rsid w:val="687760C2"/>
    <w:rsid w:val="6A3B7B41"/>
    <w:rsid w:val="6F066E6E"/>
    <w:rsid w:val="747F67F4"/>
    <w:rsid w:val="75F611A9"/>
    <w:rsid w:val="761950C7"/>
    <w:rsid w:val="7AF91C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font41"/>
    <w:basedOn w:val="6"/>
    <w:qFormat/>
    <w:uiPriority w:val="0"/>
    <w:rPr>
      <w:rFonts w:ascii="仿宋_GB2312" w:eastAsia="仿宋_GB2312" w:cs="仿宋_GB2312"/>
      <w:color w:val="000000"/>
      <w:sz w:val="32"/>
      <w:szCs w:val="32"/>
      <w:u w:val="none"/>
    </w:rPr>
  </w:style>
  <w:style w:type="character" w:customStyle="1" w:styleId="8">
    <w:name w:val="font11"/>
    <w:basedOn w:val="6"/>
    <w:qFormat/>
    <w:uiPriority w:val="0"/>
    <w:rPr>
      <w:rFonts w:hint="eastAsia" w:ascii="仿宋_GB2312" w:eastAsia="仿宋_GB2312" w:cs="仿宋_GB2312"/>
      <w:b/>
      <w:color w:val="000000"/>
      <w:sz w:val="32"/>
      <w:szCs w:val="3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区卫生和计划生育局</Company>
  <Pages>10</Pages>
  <Words>561</Words>
  <Characters>602</Characters>
  <Lines>0</Lines>
  <Paragraphs>0</Paragraphs>
  <TotalTime>9</TotalTime>
  <ScaleCrop>false</ScaleCrop>
  <LinksUpToDate>false</LinksUpToDate>
  <CharactersWithSpaces>602</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2026-08-25T00:29:00Z</dcterms:created>
  <dc:creator>Administrator</dc:creator>
  <cp:lastModifiedBy>办公室</cp:lastModifiedBy>
  <dcterms:modified xsi:type="dcterms:W3CDTF">2026-09-02T03:26:32Z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KSOTemplateDocerSaveRecord">
    <vt:lpwstr>eyJoZGlkIjoiOTc2OWE0Y2VkN2ZhMjBjMGU5ODljMTIzNmMwYzA4OWYiLCJ1c2VySWQiOiI2NDc4NTcyODAifQ==</vt:lpwstr>
  </property>
  <property fmtid="{D5CDD505-2E9C-101B-9397-08002B2CF9AE}" pid="4" name="ICV">
    <vt:lpwstr>47D152ED00364DCD978FA48E8D35957B_12</vt:lpwstr>
  </property>
</Properties>
</file>